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DA034" w14:textId="77777777" w:rsidR="00333C4A" w:rsidRPr="00333C4A" w:rsidRDefault="00333C4A" w:rsidP="004704AD">
      <w:pPr>
        <w:jc w:val="center"/>
        <w:rPr>
          <w:rFonts w:ascii="Century Gothic" w:hAnsi="Century Gothic" w:cstheme="minorHAnsi"/>
          <w:sz w:val="22"/>
          <w:szCs w:val="22"/>
        </w:rPr>
      </w:pPr>
    </w:p>
    <w:p w14:paraId="4B044DEF" w14:textId="4A98017B" w:rsidR="002F0391" w:rsidRPr="00333C4A" w:rsidRDefault="002F0391" w:rsidP="004704AD">
      <w:pPr>
        <w:jc w:val="center"/>
        <w:rPr>
          <w:rFonts w:ascii="Century Gothic" w:hAnsi="Century Gothic" w:cstheme="minorHAnsi"/>
          <w:sz w:val="22"/>
          <w:szCs w:val="22"/>
        </w:rPr>
      </w:pPr>
      <w:r w:rsidRPr="00333C4A">
        <w:rPr>
          <w:rFonts w:ascii="Century Gothic" w:hAnsi="Century Gothic" w:cstheme="minorHAnsi"/>
          <w:sz w:val="22"/>
          <w:szCs w:val="22"/>
        </w:rPr>
        <w:t xml:space="preserve">“Por medio del cual se aprueba el Plan Anual de Adquisiciones PAA - Presupuesto de Ingresos y Gastos desagregado por códigos presupuestales, fuentes e ítems, el Plan Anual </w:t>
      </w:r>
      <w:proofErr w:type="spellStart"/>
      <w:r w:rsidRPr="00333C4A">
        <w:rPr>
          <w:rFonts w:ascii="Century Gothic" w:hAnsi="Century Gothic" w:cstheme="minorHAnsi"/>
          <w:sz w:val="22"/>
          <w:szCs w:val="22"/>
        </w:rPr>
        <w:t>Mensualizado</w:t>
      </w:r>
      <w:proofErr w:type="spellEnd"/>
      <w:r w:rsidRPr="00333C4A">
        <w:rPr>
          <w:rFonts w:ascii="Century Gothic" w:hAnsi="Century Gothic" w:cstheme="minorHAnsi"/>
          <w:sz w:val="22"/>
          <w:szCs w:val="22"/>
        </w:rPr>
        <w:t xml:space="preserve"> de Caja PAC del Fondo de Servicios Educativos de la </w:t>
      </w:r>
      <w:r w:rsidR="00573D33" w:rsidRPr="00333C4A">
        <w:rPr>
          <w:rFonts w:ascii="Century Gothic" w:hAnsi="Century Gothic" w:cstheme="minorHAnsi"/>
          <w:b/>
          <w:sz w:val="22"/>
          <w:szCs w:val="22"/>
        </w:rPr>
        <w:t xml:space="preserve">INSTITUCION EDUCATIVA RAICES DEL FUTURO </w:t>
      </w:r>
      <w:r w:rsidR="00FD7803" w:rsidRPr="00333C4A">
        <w:rPr>
          <w:rFonts w:ascii="Century Gothic" w:hAnsi="Century Gothic" w:cstheme="minorHAnsi"/>
          <w:b/>
          <w:sz w:val="22"/>
          <w:szCs w:val="22"/>
        </w:rPr>
        <w:t xml:space="preserve"> </w:t>
      </w:r>
      <w:r w:rsidRPr="00333C4A">
        <w:rPr>
          <w:rFonts w:ascii="Century Gothic" w:hAnsi="Century Gothic" w:cstheme="minorHAnsi"/>
          <w:sz w:val="22"/>
          <w:szCs w:val="22"/>
        </w:rPr>
        <w:t>de Ibagué, para la vigencia fiscal del 1º de enero al 31 de diciembre del AÑO 20</w:t>
      </w:r>
      <w:r w:rsidR="00D945CD" w:rsidRPr="00333C4A">
        <w:rPr>
          <w:rFonts w:ascii="Century Gothic" w:hAnsi="Century Gothic" w:cstheme="minorHAnsi"/>
          <w:sz w:val="22"/>
          <w:szCs w:val="22"/>
        </w:rPr>
        <w:t>2</w:t>
      </w:r>
      <w:r w:rsidR="00033E7E" w:rsidRPr="00333C4A">
        <w:rPr>
          <w:rFonts w:ascii="Century Gothic" w:hAnsi="Century Gothic" w:cstheme="minorHAnsi"/>
          <w:sz w:val="22"/>
          <w:szCs w:val="22"/>
        </w:rPr>
        <w:t>1</w:t>
      </w:r>
      <w:r w:rsidRPr="00333C4A">
        <w:rPr>
          <w:rFonts w:ascii="Century Gothic" w:hAnsi="Century Gothic" w:cstheme="minorHAnsi"/>
          <w:sz w:val="22"/>
          <w:szCs w:val="22"/>
        </w:rPr>
        <w:t>.</w:t>
      </w:r>
    </w:p>
    <w:p w14:paraId="7F2E9606" w14:textId="77777777" w:rsidR="002F0391" w:rsidRPr="00333C4A" w:rsidRDefault="002F0391" w:rsidP="004704AD">
      <w:pPr>
        <w:jc w:val="center"/>
        <w:rPr>
          <w:rFonts w:ascii="Century Gothic" w:hAnsi="Century Gothic" w:cstheme="minorHAnsi"/>
          <w:b/>
          <w:sz w:val="22"/>
          <w:szCs w:val="22"/>
        </w:rPr>
      </w:pPr>
    </w:p>
    <w:p w14:paraId="393E59F8" w14:textId="77777777" w:rsidR="002F0391" w:rsidRPr="00333C4A" w:rsidRDefault="002F0391" w:rsidP="004704AD">
      <w:pPr>
        <w:jc w:val="center"/>
        <w:rPr>
          <w:rFonts w:ascii="Century Gothic" w:hAnsi="Century Gothic" w:cstheme="minorHAnsi"/>
          <w:sz w:val="22"/>
          <w:szCs w:val="22"/>
        </w:rPr>
      </w:pPr>
    </w:p>
    <w:p w14:paraId="280E4740" w14:textId="2CDCAEB9" w:rsidR="002F0391" w:rsidRPr="00333C4A" w:rsidRDefault="002F0391" w:rsidP="004704AD">
      <w:pPr>
        <w:jc w:val="center"/>
        <w:rPr>
          <w:rFonts w:ascii="Century Gothic" w:hAnsi="Century Gothic" w:cstheme="minorHAnsi"/>
          <w:sz w:val="22"/>
          <w:szCs w:val="22"/>
        </w:rPr>
      </w:pPr>
      <w:r w:rsidRPr="00333C4A">
        <w:rPr>
          <w:rFonts w:ascii="Century Gothic" w:hAnsi="Century Gothic" w:cstheme="minorHAnsi"/>
          <w:sz w:val="22"/>
          <w:szCs w:val="22"/>
        </w:rPr>
        <w:t xml:space="preserve">El Consejo Directivo de la </w:t>
      </w:r>
      <w:r w:rsidR="00573D33" w:rsidRPr="00333C4A">
        <w:rPr>
          <w:rFonts w:ascii="Century Gothic" w:hAnsi="Century Gothic" w:cstheme="minorHAnsi"/>
          <w:b/>
          <w:sz w:val="22"/>
          <w:szCs w:val="22"/>
        </w:rPr>
        <w:t xml:space="preserve">INSTITUCION EDUCATIVA RAICES DEL FUTURO </w:t>
      </w:r>
      <w:r w:rsidR="00FD7803" w:rsidRPr="00333C4A">
        <w:rPr>
          <w:rFonts w:ascii="Century Gothic" w:hAnsi="Century Gothic" w:cstheme="minorHAnsi"/>
          <w:sz w:val="22"/>
          <w:szCs w:val="22"/>
        </w:rPr>
        <w:t xml:space="preserve"> </w:t>
      </w:r>
      <w:r w:rsidRPr="00333C4A">
        <w:rPr>
          <w:rFonts w:ascii="Century Gothic" w:hAnsi="Century Gothic" w:cstheme="minorHAnsi"/>
          <w:sz w:val="22"/>
          <w:szCs w:val="22"/>
        </w:rPr>
        <w:t>del Municipio de Ibagué, en uso de sus facultades legales que le confiere la LEY 715 DE 2001, Decreto reglamentario 4791 de Diciembre 19 de 2008.</w:t>
      </w:r>
    </w:p>
    <w:p w14:paraId="46D03904" w14:textId="77777777" w:rsidR="002F0391" w:rsidRPr="00333C4A" w:rsidRDefault="00C40907" w:rsidP="00C40907">
      <w:pPr>
        <w:tabs>
          <w:tab w:val="left" w:pos="5025"/>
        </w:tabs>
        <w:jc w:val="both"/>
        <w:rPr>
          <w:rFonts w:ascii="Century Gothic" w:hAnsi="Century Gothic" w:cstheme="minorHAnsi"/>
          <w:sz w:val="22"/>
          <w:szCs w:val="22"/>
        </w:rPr>
      </w:pPr>
      <w:r w:rsidRPr="00333C4A">
        <w:rPr>
          <w:rFonts w:ascii="Century Gothic" w:hAnsi="Century Gothic" w:cstheme="minorHAnsi"/>
          <w:sz w:val="22"/>
          <w:szCs w:val="22"/>
        </w:rPr>
        <w:tab/>
      </w:r>
    </w:p>
    <w:p w14:paraId="3D283555" w14:textId="77777777" w:rsidR="002F0391" w:rsidRPr="00333C4A" w:rsidRDefault="002F0391" w:rsidP="002F0391">
      <w:pPr>
        <w:jc w:val="both"/>
        <w:rPr>
          <w:rFonts w:ascii="Century Gothic" w:hAnsi="Century Gothic" w:cstheme="minorHAnsi"/>
          <w:sz w:val="22"/>
          <w:szCs w:val="22"/>
        </w:rPr>
      </w:pPr>
    </w:p>
    <w:p w14:paraId="4A92C06A" w14:textId="77777777" w:rsidR="002F0391" w:rsidRPr="00333C4A" w:rsidRDefault="002F0391" w:rsidP="002F0391">
      <w:pPr>
        <w:jc w:val="center"/>
        <w:rPr>
          <w:rFonts w:ascii="Century Gothic" w:hAnsi="Century Gothic" w:cstheme="minorHAnsi"/>
          <w:b/>
          <w:sz w:val="22"/>
          <w:szCs w:val="22"/>
        </w:rPr>
      </w:pPr>
      <w:r w:rsidRPr="00333C4A">
        <w:rPr>
          <w:rFonts w:ascii="Century Gothic" w:hAnsi="Century Gothic" w:cstheme="minorHAnsi"/>
          <w:b/>
          <w:sz w:val="22"/>
          <w:szCs w:val="22"/>
        </w:rPr>
        <w:t>CONSIDERANDO</w:t>
      </w:r>
    </w:p>
    <w:p w14:paraId="7AEC87BC" w14:textId="77777777" w:rsidR="002F0391" w:rsidRPr="00333C4A" w:rsidRDefault="002F0391" w:rsidP="002F0391">
      <w:pPr>
        <w:jc w:val="both"/>
        <w:rPr>
          <w:rFonts w:ascii="Century Gothic" w:hAnsi="Century Gothic" w:cstheme="minorHAnsi"/>
          <w:sz w:val="22"/>
          <w:szCs w:val="22"/>
        </w:rPr>
      </w:pPr>
    </w:p>
    <w:p w14:paraId="5F202058" w14:textId="77777777" w:rsidR="00FD7803" w:rsidRPr="00333C4A" w:rsidRDefault="00FD7803" w:rsidP="00FD7803">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la Administración y funcionamiento del  Fondo de Servicios Educativos existente en la institución Educativa se regirá y se ajustará a las normas establecidas en Ley 115 de 1994, ley 715 de 2001,   Decreto 4791 del 19 de diciembre de 2008, compilado en el decreto 1075 de 2015.</w:t>
      </w:r>
    </w:p>
    <w:p w14:paraId="6E85C348" w14:textId="77777777" w:rsidR="00FD7803" w:rsidRPr="00333C4A" w:rsidRDefault="00FD7803" w:rsidP="00FD7803">
      <w:pPr>
        <w:jc w:val="both"/>
        <w:rPr>
          <w:rStyle w:val="nfasis"/>
          <w:rFonts w:ascii="Century Gothic" w:hAnsi="Century Gothic" w:cstheme="minorHAnsi"/>
          <w:i w:val="0"/>
          <w:sz w:val="22"/>
          <w:szCs w:val="22"/>
        </w:rPr>
      </w:pPr>
    </w:p>
    <w:p w14:paraId="60E8BFB8" w14:textId="77777777" w:rsidR="004C663D" w:rsidRPr="00333C4A" w:rsidRDefault="004C663D" w:rsidP="004C663D">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el Decreto 1075 de mayo de 2015, define que el Presupuesto Anual del Fondo de Servicios Educativos, como un instrumento financiero mediante el cual se programa el Presupuesto de   Ingresos, desagregado a nivel de grupos y fuentes de Ingresos y el Presupuesto de Gastos, desagregado en: funcionamiento a nivel de rubros, e inversión a nivel de proyectos, para la vigencia fiscal 2020, como corresponde a las Instituciones Educativas Oficiales.</w:t>
      </w:r>
    </w:p>
    <w:p w14:paraId="67850863" w14:textId="77777777" w:rsidR="004C663D" w:rsidRPr="00333C4A" w:rsidRDefault="004C663D" w:rsidP="00FD7803">
      <w:pPr>
        <w:jc w:val="both"/>
        <w:rPr>
          <w:rStyle w:val="nfasis"/>
          <w:rFonts w:ascii="Century Gothic" w:hAnsi="Century Gothic" w:cstheme="minorHAnsi"/>
          <w:i w:val="0"/>
          <w:sz w:val="22"/>
          <w:szCs w:val="22"/>
        </w:rPr>
      </w:pPr>
    </w:p>
    <w:p w14:paraId="1CA18FE7" w14:textId="71680F09" w:rsidR="00FD7803" w:rsidRPr="00333C4A" w:rsidRDefault="00FD7803" w:rsidP="00FD7803">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el decreto 1075 de 2015, reglamento el funcionamiento de los FSE y determina la composición del mismo y establece las condiciones de aplicación de la gratuidad educativa para los estudiantes de educación preescolar, primaria, secundaria y media de las instituciones educativas estatales.</w:t>
      </w:r>
    </w:p>
    <w:p w14:paraId="4015BD90" w14:textId="41C1699D" w:rsidR="004C663D" w:rsidRPr="00333C4A" w:rsidRDefault="004C663D" w:rsidP="00FD7803">
      <w:pPr>
        <w:jc w:val="both"/>
        <w:rPr>
          <w:rStyle w:val="nfasis"/>
          <w:rFonts w:ascii="Century Gothic" w:hAnsi="Century Gothic" w:cstheme="minorHAnsi"/>
          <w:i w:val="0"/>
          <w:sz w:val="22"/>
          <w:szCs w:val="22"/>
        </w:rPr>
      </w:pPr>
    </w:p>
    <w:p w14:paraId="33FD8221" w14:textId="1B71151B" w:rsidR="004C663D" w:rsidRPr="00333C4A" w:rsidRDefault="001E33DD" w:rsidP="00FD7803">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es deber del Consejo Directivo de la Institución antes del inicio de cada vigencia fiscal, analizar, introducir ajustes y aprobar mediante acuerdo el presupuesto de ingresos y gastos del proyecto presentado por el rector o director rural, de conformidad con lo dispuesto en el numeral 1 del artículo 2.3.1.6.3.5 del decreto 1075 de 2015.</w:t>
      </w:r>
    </w:p>
    <w:p w14:paraId="71721CA2" w14:textId="22513B0F" w:rsidR="004C663D" w:rsidRPr="00333C4A" w:rsidRDefault="004C663D" w:rsidP="00FD7803">
      <w:pPr>
        <w:jc w:val="both"/>
        <w:rPr>
          <w:rStyle w:val="nfasis"/>
          <w:rFonts w:ascii="Century Gothic" w:hAnsi="Century Gothic" w:cstheme="minorHAnsi"/>
          <w:i w:val="0"/>
          <w:sz w:val="22"/>
          <w:szCs w:val="22"/>
        </w:rPr>
      </w:pPr>
    </w:p>
    <w:p w14:paraId="34D120B7" w14:textId="1CA17070" w:rsidR="001E33DD" w:rsidRPr="00333C4A" w:rsidRDefault="001E33DD" w:rsidP="001E33DD">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es deber del Rector de la Institución antes del inicio de cada vigencia Elaborar el proyecto anual de presupuesto del Fondo de Servicios Educativos y presentarlo para aprobación al consejo directivo, de conformidad con lo dispuesto en el numeral 1 del artículo 2.3.1.6.3.6 del decreto 1075 de 2015.</w:t>
      </w:r>
    </w:p>
    <w:p w14:paraId="21536F0A" w14:textId="77777777" w:rsidR="001E33DD" w:rsidRPr="00333C4A" w:rsidRDefault="001E33DD" w:rsidP="00FD7803">
      <w:pPr>
        <w:jc w:val="both"/>
        <w:rPr>
          <w:rStyle w:val="nfasis"/>
          <w:rFonts w:ascii="Century Gothic" w:hAnsi="Century Gothic" w:cstheme="minorHAnsi"/>
          <w:i w:val="0"/>
          <w:sz w:val="22"/>
          <w:szCs w:val="22"/>
        </w:rPr>
      </w:pPr>
    </w:p>
    <w:p w14:paraId="7D1A5660" w14:textId="77777777" w:rsidR="00FD7803" w:rsidRPr="00333C4A" w:rsidRDefault="00FD7803" w:rsidP="00FD7803">
      <w:pPr>
        <w:jc w:val="both"/>
        <w:rPr>
          <w:rStyle w:val="nfasis"/>
          <w:rFonts w:ascii="Century Gothic" w:hAnsi="Century Gothic" w:cstheme="minorHAnsi"/>
          <w:i w:val="0"/>
          <w:sz w:val="22"/>
          <w:szCs w:val="22"/>
        </w:rPr>
      </w:pPr>
    </w:p>
    <w:p w14:paraId="0B5AF44A" w14:textId="77777777" w:rsidR="004C663D" w:rsidRPr="00333C4A" w:rsidRDefault="004C663D" w:rsidP="004C663D">
      <w:pPr>
        <w:jc w:val="both"/>
        <w:rPr>
          <w:rFonts w:ascii="Century Gothic" w:hAnsi="Century Gothic" w:cstheme="minorHAnsi"/>
          <w:sz w:val="22"/>
          <w:szCs w:val="22"/>
        </w:rPr>
      </w:pPr>
      <w:r w:rsidRPr="00333C4A">
        <w:rPr>
          <w:rFonts w:ascii="Century Gothic" w:hAnsi="Century Gothic" w:cstheme="minorHAnsi"/>
          <w:sz w:val="22"/>
          <w:szCs w:val="22"/>
        </w:rPr>
        <w:t>Que el Decreto 1075 de mayo de 2015, establece en su artículo 2.3.1.6.4.2, parágrafo 1: “Alcance de la Gratuidad Educativa: Para la asignación de los recursos de gratuidad se excluyen de los beneficiarios a los estudiantes de ciclos 1, 2, 3, 4, 5, 6 de educación para adultos, el ciclo complementario de las escuelas normales superiores, grados 12 y 13, Y a estudiantes atendidos en instituciones educativas estatales que no son financiados con recursos del Sistema General de Participaciones”.</w:t>
      </w:r>
    </w:p>
    <w:p w14:paraId="17FAC914" w14:textId="77777777" w:rsidR="004C663D" w:rsidRPr="00333C4A" w:rsidRDefault="004C663D" w:rsidP="004C663D">
      <w:pPr>
        <w:jc w:val="both"/>
        <w:rPr>
          <w:rStyle w:val="nfasis"/>
          <w:rFonts w:ascii="Century Gothic" w:hAnsi="Century Gothic" w:cstheme="minorHAnsi"/>
          <w:i w:val="0"/>
          <w:sz w:val="22"/>
          <w:szCs w:val="22"/>
        </w:rPr>
      </w:pPr>
    </w:p>
    <w:p w14:paraId="79798EC9" w14:textId="3B5A7301" w:rsidR="004C663D" w:rsidRPr="00333C4A" w:rsidRDefault="004C663D" w:rsidP="004C663D">
      <w:pPr>
        <w:jc w:val="both"/>
        <w:rPr>
          <w:rStyle w:val="nfasis"/>
          <w:rFonts w:ascii="Century Gothic" w:hAnsi="Century Gothic" w:cstheme="minorHAnsi"/>
          <w:i w:val="0"/>
          <w:sz w:val="22"/>
          <w:szCs w:val="22"/>
        </w:rPr>
      </w:pPr>
      <w:r w:rsidRPr="00333C4A">
        <w:rPr>
          <w:rStyle w:val="nfasis"/>
          <w:rFonts w:ascii="Century Gothic" w:hAnsi="Century Gothic" w:cstheme="minorHAnsi"/>
          <w:i w:val="0"/>
          <w:sz w:val="22"/>
          <w:szCs w:val="22"/>
        </w:rPr>
        <w:t>Que la Secretaria de Educación Municipal de Ibagué mediante Resolución No 001965 de 10 de noviembre de 2020, adopta el reglamento territorial de gratuidad educativa para el año 2021 en las instituciones educativas oficiales del municipio de Ibagué y se dictan otras disposiciones,  establece la gratuidad de los cobros por concepto de derechos académicos, cobro anual por servicios complementarios y otros cobros para los establecimientos educativos del municipio de Ibagué y estableció los criterios de acuerdo a las características de la población matriculada (silben, población afectada por la violencia) afro descendientes e indígenas.</w:t>
      </w:r>
    </w:p>
    <w:p w14:paraId="3376A9DD" w14:textId="77777777" w:rsidR="00FD7803" w:rsidRPr="00333C4A" w:rsidRDefault="00FD7803" w:rsidP="00FD7803">
      <w:pPr>
        <w:ind w:left="170"/>
        <w:jc w:val="both"/>
        <w:rPr>
          <w:rFonts w:ascii="Century Gothic" w:hAnsi="Century Gothic" w:cstheme="minorHAnsi"/>
          <w:sz w:val="22"/>
          <w:szCs w:val="22"/>
        </w:rPr>
      </w:pPr>
    </w:p>
    <w:p w14:paraId="4DE2A217" w14:textId="30FB6961" w:rsidR="00FD7803" w:rsidRPr="00333C4A" w:rsidRDefault="00FD7803" w:rsidP="00FD7803">
      <w:pPr>
        <w:jc w:val="both"/>
        <w:rPr>
          <w:rFonts w:ascii="Century Gothic" w:hAnsi="Century Gothic" w:cstheme="minorHAnsi"/>
          <w:sz w:val="22"/>
          <w:szCs w:val="22"/>
        </w:rPr>
      </w:pPr>
      <w:r w:rsidRPr="00333C4A">
        <w:rPr>
          <w:rFonts w:ascii="Century Gothic" w:hAnsi="Century Gothic" w:cstheme="minorHAnsi"/>
          <w:sz w:val="22"/>
          <w:szCs w:val="22"/>
        </w:rPr>
        <w:t>Que el Consejo Directivo de la Institución Educativa, adopta y aplica para la vigencia del año escolar 20</w:t>
      </w:r>
      <w:r w:rsidR="00846C92" w:rsidRPr="00333C4A">
        <w:rPr>
          <w:rFonts w:ascii="Century Gothic" w:hAnsi="Century Gothic" w:cstheme="minorHAnsi"/>
          <w:sz w:val="22"/>
          <w:szCs w:val="22"/>
        </w:rPr>
        <w:t>2</w:t>
      </w:r>
      <w:r w:rsidR="004C663D" w:rsidRPr="00333C4A">
        <w:rPr>
          <w:rFonts w:ascii="Century Gothic" w:hAnsi="Century Gothic" w:cstheme="minorHAnsi"/>
          <w:sz w:val="22"/>
          <w:szCs w:val="22"/>
        </w:rPr>
        <w:t>1</w:t>
      </w:r>
      <w:r w:rsidRPr="00333C4A">
        <w:rPr>
          <w:rFonts w:ascii="Century Gothic" w:hAnsi="Century Gothic" w:cstheme="minorHAnsi"/>
          <w:sz w:val="22"/>
          <w:szCs w:val="22"/>
        </w:rPr>
        <w:t xml:space="preserve">, la </w:t>
      </w:r>
      <w:r w:rsidR="004C663D" w:rsidRPr="00333C4A">
        <w:rPr>
          <w:rFonts w:ascii="Century Gothic" w:hAnsi="Century Gothic" w:cstheme="minorHAnsi"/>
          <w:sz w:val="22"/>
          <w:szCs w:val="22"/>
        </w:rPr>
        <w:t>Resolución No 001965 de 10 de noviembre de 2020</w:t>
      </w:r>
      <w:r w:rsidRPr="00333C4A">
        <w:rPr>
          <w:rFonts w:ascii="Century Gothic" w:hAnsi="Century Gothic" w:cstheme="minorHAnsi"/>
          <w:sz w:val="22"/>
          <w:szCs w:val="22"/>
        </w:rPr>
        <w:t>, dando cumplimiento a lo dispuesto en la Directiva Ministerial Nº 23 del 9 de noviembre de 2011, la cual dispuso la GRATUIDAD en la educación a partir de la vigencia 2012, para todos los estudiantes de las instituciones educativas estatales, matriculados entre los grados transición a undécimo, en el sentido de NO realizar ningún cobro por derechos  académicos y servicios complementarios.</w:t>
      </w:r>
    </w:p>
    <w:p w14:paraId="0A71260C" w14:textId="77777777" w:rsidR="00FD7803" w:rsidRPr="00333C4A" w:rsidRDefault="00FD7803" w:rsidP="00FD7803">
      <w:pPr>
        <w:pStyle w:val="Prrafodelista"/>
        <w:rPr>
          <w:rFonts w:ascii="Century Gothic" w:hAnsi="Century Gothic" w:cstheme="minorHAnsi"/>
          <w:sz w:val="22"/>
          <w:szCs w:val="22"/>
        </w:rPr>
      </w:pPr>
    </w:p>
    <w:p w14:paraId="31CD5E19" w14:textId="1689CA0F" w:rsidR="00FD7803" w:rsidRPr="00333C4A" w:rsidRDefault="00FD7803" w:rsidP="00FD7803">
      <w:pPr>
        <w:jc w:val="both"/>
        <w:rPr>
          <w:rFonts w:ascii="Century Gothic" w:hAnsi="Century Gothic" w:cstheme="minorHAnsi"/>
          <w:sz w:val="22"/>
          <w:szCs w:val="22"/>
        </w:rPr>
      </w:pPr>
      <w:r w:rsidRPr="00333C4A">
        <w:rPr>
          <w:rFonts w:ascii="Century Gothic" w:hAnsi="Century Gothic" w:cstheme="minorHAnsi"/>
          <w:sz w:val="22"/>
          <w:szCs w:val="22"/>
        </w:rPr>
        <w:t xml:space="preserve">Que el consejo directivo, adopta como </w:t>
      </w:r>
      <w:r w:rsidR="00846C92" w:rsidRPr="00333C4A">
        <w:rPr>
          <w:rFonts w:ascii="Century Gothic" w:hAnsi="Century Gothic" w:cstheme="minorHAnsi"/>
          <w:sz w:val="22"/>
          <w:szCs w:val="22"/>
        </w:rPr>
        <w:t>para la vigencia 202</w:t>
      </w:r>
      <w:r w:rsidR="004C663D" w:rsidRPr="00333C4A">
        <w:rPr>
          <w:rFonts w:ascii="Century Gothic" w:hAnsi="Century Gothic" w:cstheme="minorHAnsi"/>
          <w:sz w:val="22"/>
          <w:szCs w:val="22"/>
        </w:rPr>
        <w:t>1</w:t>
      </w:r>
      <w:r w:rsidR="00846C92" w:rsidRPr="00333C4A">
        <w:rPr>
          <w:rFonts w:ascii="Century Gothic" w:hAnsi="Century Gothic" w:cstheme="minorHAnsi"/>
          <w:sz w:val="22"/>
          <w:szCs w:val="22"/>
        </w:rPr>
        <w:t xml:space="preserve">, los siguientes </w:t>
      </w:r>
      <w:r w:rsidRPr="00333C4A">
        <w:rPr>
          <w:rFonts w:ascii="Century Gothic" w:hAnsi="Century Gothic" w:cstheme="minorHAnsi"/>
          <w:sz w:val="22"/>
          <w:szCs w:val="22"/>
        </w:rPr>
        <w:t xml:space="preserve">valores que se cobraran por concepto de constancias, certificados, duplicados de diplomas y actas de grado para egresados o estudiantes no activos en la institución, </w:t>
      </w:r>
      <w:r w:rsidR="00846C92" w:rsidRPr="00333C4A">
        <w:rPr>
          <w:rFonts w:ascii="Century Gothic" w:hAnsi="Century Gothic" w:cstheme="minorHAnsi"/>
          <w:sz w:val="22"/>
          <w:szCs w:val="22"/>
        </w:rPr>
        <w:t xml:space="preserve">de conformidad con la </w:t>
      </w:r>
      <w:r w:rsidR="004C663D" w:rsidRPr="00333C4A">
        <w:rPr>
          <w:rFonts w:ascii="Century Gothic" w:hAnsi="Century Gothic" w:cstheme="minorHAnsi"/>
          <w:sz w:val="22"/>
          <w:szCs w:val="22"/>
        </w:rPr>
        <w:t>Resolución No 001965 de 10 de noviembre de 2020</w:t>
      </w:r>
      <w:r w:rsidRPr="00333C4A">
        <w:rPr>
          <w:rFonts w:ascii="Century Gothic" w:hAnsi="Century Gothic" w:cstheme="minorHAnsi"/>
          <w:sz w:val="22"/>
          <w:szCs w:val="22"/>
        </w:rPr>
        <w:t>:</w:t>
      </w:r>
    </w:p>
    <w:p w14:paraId="2E9FA05A" w14:textId="77777777" w:rsidR="00FD7803" w:rsidRPr="00333C4A" w:rsidRDefault="00FD7803" w:rsidP="00FD7803">
      <w:pPr>
        <w:pStyle w:val="Prrafodelista"/>
        <w:ind w:left="720"/>
        <w:jc w:val="both"/>
        <w:rPr>
          <w:rFonts w:ascii="Century Gothic" w:hAnsi="Century Gothic" w:cstheme="minorHAnsi"/>
          <w:sz w:val="22"/>
          <w:szCs w:val="22"/>
        </w:rPr>
      </w:pPr>
    </w:p>
    <w:p w14:paraId="3CD76A2C" w14:textId="77777777" w:rsidR="00FD7803" w:rsidRPr="00333C4A" w:rsidRDefault="00FD7803" w:rsidP="00FD7803">
      <w:pPr>
        <w:pStyle w:val="Prrafodelista"/>
        <w:ind w:left="720"/>
        <w:jc w:val="both"/>
        <w:rPr>
          <w:rFonts w:ascii="Century Gothic" w:hAnsi="Century Gothic" w:cstheme="minorHAnsi"/>
          <w:sz w:val="22"/>
          <w:szCs w:val="22"/>
        </w:rPr>
      </w:pPr>
      <w:r w:rsidRPr="00333C4A">
        <w:rPr>
          <w:rFonts w:ascii="Century Gothic" w:hAnsi="Century Gothic" w:cstheme="minorHAnsi"/>
          <w:sz w:val="22"/>
          <w:szCs w:val="22"/>
        </w:rPr>
        <w:t>a. Duplicados de diplomas hasta: $</w:t>
      </w:r>
      <w:r w:rsidR="008D3673" w:rsidRPr="00333C4A">
        <w:rPr>
          <w:rFonts w:ascii="Century Gothic" w:hAnsi="Century Gothic" w:cstheme="minorHAnsi"/>
          <w:sz w:val="22"/>
          <w:szCs w:val="22"/>
        </w:rPr>
        <w:t>30.000</w:t>
      </w:r>
    </w:p>
    <w:p w14:paraId="2F10ECC8" w14:textId="5F9A40CA" w:rsidR="00FD7803" w:rsidRPr="00333C4A" w:rsidRDefault="00FD7803" w:rsidP="00FD7803">
      <w:pPr>
        <w:pStyle w:val="Prrafodelista"/>
        <w:ind w:left="720"/>
        <w:jc w:val="both"/>
        <w:rPr>
          <w:rFonts w:ascii="Century Gothic" w:hAnsi="Century Gothic" w:cstheme="minorHAnsi"/>
          <w:sz w:val="22"/>
          <w:szCs w:val="22"/>
        </w:rPr>
      </w:pPr>
      <w:r w:rsidRPr="00333C4A">
        <w:rPr>
          <w:rFonts w:ascii="Century Gothic" w:hAnsi="Century Gothic" w:cstheme="minorHAnsi"/>
          <w:sz w:val="22"/>
          <w:szCs w:val="22"/>
        </w:rPr>
        <w:t xml:space="preserve">b. Duplicado de Actas de grado hasta: $ </w:t>
      </w:r>
      <w:r w:rsidR="00573D33" w:rsidRPr="00333C4A">
        <w:rPr>
          <w:rFonts w:ascii="Century Gothic" w:hAnsi="Century Gothic" w:cstheme="minorHAnsi"/>
          <w:sz w:val="22"/>
          <w:szCs w:val="22"/>
        </w:rPr>
        <w:t>5.000</w:t>
      </w:r>
    </w:p>
    <w:p w14:paraId="3758837B" w14:textId="507FE6C0" w:rsidR="00FD7803" w:rsidRPr="00333C4A" w:rsidRDefault="00FD7803" w:rsidP="00FD7803">
      <w:pPr>
        <w:pStyle w:val="Prrafodelista"/>
        <w:ind w:left="720"/>
        <w:jc w:val="both"/>
        <w:rPr>
          <w:rFonts w:ascii="Century Gothic" w:hAnsi="Century Gothic" w:cstheme="minorHAnsi"/>
          <w:sz w:val="22"/>
          <w:szCs w:val="22"/>
        </w:rPr>
      </w:pPr>
      <w:r w:rsidRPr="00333C4A">
        <w:rPr>
          <w:rFonts w:ascii="Century Gothic" w:hAnsi="Century Gothic" w:cstheme="minorHAnsi"/>
          <w:sz w:val="22"/>
          <w:szCs w:val="22"/>
        </w:rPr>
        <w:t xml:space="preserve">c. Certificados de estudios hasta: $ </w:t>
      </w:r>
      <w:r w:rsidR="00573D33" w:rsidRPr="00333C4A">
        <w:rPr>
          <w:rFonts w:ascii="Century Gothic" w:hAnsi="Century Gothic" w:cstheme="minorHAnsi"/>
          <w:sz w:val="22"/>
          <w:szCs w:val="22"/>
        </w:rPr>
        <w:t>5.000</w:t>
      </w:r>
    </w:p>
    <w:p w14:paraId="59B8E2D1" w14:textId="77777777" w:rsidR="00FD7803" w:rsidRPr="00333C4A" w:rsidRDefault="00FD7803" w:rsidP="00FD7803">
      <w:pPr>
        <w:pStyle w:val="Prrafodelista"/>
        <w:ind w:left="720"/>
        <w:jc w:val="both"/>
        <w:rPr>
          <w:rFonts w:ascii="Century Gothic" w:hAnsi="Century Gothic" w:cstheme="minorHAnsi"/>
          <w:sz w:val="22"/>
          <w:szCs w:val="22"/>
        </w:rPr>
      </w:pPr>
    </w:p>
    <w:p w14:paraId="4FC849CC" w14:textId="77777777" w:rsidR="004C663D" w:rsidRPr="00333C4A" w:rsidRDefault="004C663D" w:rsidP="004C663D">
      <w:pPr>
        <w:jc w:val="both"/>
        <w:rPr>
          <w:rFonts w:ascii="Century Gothic" w:hAnsi="Century Gothic" w:cstheme="minorHAnsi"/>
          <w:sz w:val="22"/>
          <w:szCs w:val="22"/>
        </w:rPr>
      </w:pPr>
      <w:r w:rsidRPr="00333C4A">
        <w:rPr>
          <w:rFonts w:ascii="Century Gothic" w:hAnsi="Century Gothic" w:cstheme="minorHAnsi"/>
          <w:sz w:val="22"/>
          <w:szCs w:val="22"/>
        </w:rPr>
        <w:t xml:space="preserve">Que  el Consejo Directivo de la Institución Educativa, en   cumplimiento   de   sus  funciones  de analizar, complementar e introducir   ajustes pertinentes y aprobar mediante Acuerdo las herramientas de Planeación, estudió y aprobó Plan Anual de Adquisiciones PAA - Presupuesto de Ingresos y Gastos desagregado por </w:t>
      </w:r>
      <w:r w:rsidRPr="00333C4A">
        <w:rPr>
          <w:rFonts w:ascii="Century Gothic" w:hAnsi="Century Gothic" w:cstheme="minorHAnsi"/>
          <w:sz w:val="22"/>
          <w:szCs w:val="22"/>
        </w:rPr>
        <w:lastRenderedPageBreak/>
        <w:t xml:space="preserve">códigos presupuestales, fuentes e ítems, el Plan Anual </w:t>
      </w:r>
      <w:proofErr w:type="spellStart"/>
      <w:r w:rsidRPr="00333C4A">
        <w:rPr>
          <w:rFonts w:ascii="Century Gothic" w:hAnsi="Century Gothic" w:cstheme="minorHAnsi"/>
          <w:sz w:val="22"/>
          <w:szCs w:val="22"/>
        </w:rPr>
        <w:t>Mensualizado</w:t>
      </w:r>
      <w:proofErr w:type="spellEnd"/>
      <w:r w:rsidRPr="00333C4A">
        <w:rPr>
          <w:rFonts w:ascii="Century Gothic" w:hAnsi="Century Gothic" w:cstheme="minorHAnsi"/>
          <w:sz w:val="22"/>
          <w:szCs w:val="22"/>
        </w:rPr>
        <w:t xml:space="preserve"> de Caja PAC, para la vigencia fiscal del año 2021, presentado por el Rector – Ordenador del Gasto.</w:t>
      </w:r>
    </w:p>
    <w:p w14:paraId="51C3E6C2" w14:textId="77777777" w:rsidR="004C663D" w:rsidRPr="00333C4A" w:rsidRDefault="004C663D" w:rsidP="004C663D">
      <w:pPr>
        <w:pStyle w:val="Prrafodelista"/>
        <w:rPr>
          <w:rFonts w:ascii="Century Gothic" w:hAnsi="Century Gothic" w:cstheme="minorHAnsi"/>
          <w:sz w:val="22"/>
          <w:szCs w:val="22"/>
        </w:rPr>
      </w:pPr>
    </w:p>
    <w:p w14:paraId="2074E18A" w14:textId="77777777" w:rsidR="004C663D" w:rsidRPr="00333C4A" w:rsidRDefault="004C663D" w:rsidP="00FD7803">
      <w:pPr>
        <w:jc w:val="both"/>
        <w:rPr>
          <w:rFonts w:ascii="Century Gothic" w:hAnsi="Century Gothic" w:cstheme="minorHAnsi"/>
          <w:sz w:val="22"/>
          <w:szCs w:val="22"/>
        </w:rPr>
      </w:pPr>
    </w:p>
    <w:p w14:paraId="24E263AA" w14:textId="63787D89" w:rsidR="00FD7803" w:rsidRPr="00333C4A" w:rsidRDefault="008D3673" w:rsidP="00FD7803">
      <w:pPr>
        <w:jc w:val="both"/>
        <w:rPr>
          <w:rFonts w:ascii="Century Gothic" w:hAnsi="Century Gothic" w:cstheme="minorHAnsi"/>
          <w:sz w:val="22"/>
          <w:szCs w:val="22"/>
        </w:rPr>
      </w:pPr>
      <w:r w:rsidRPr="00333C4A">
        <w:rPr>
          <w:rFonts w:ascii="Century Gothic" w:hAnsi="Century Gothic" w:cstheme="minorHAnsi"/>
          <w:sz w:val="22"/>
          <w:szCs w:val="22"/>
        </w:rPr>
        <w:t xml:space="preserve">Que, sobre el seguro estudiantil de accidentes, </w:t>
      </w:r>
      <w:r w:rsidR="00FD7803" w:rsidRPr="00333C4A">
        <w:rPr>
          <w:rFonts w:ascii="Century Gothic" w:hAnsi="Century Gothic" w:cstheme="minorHAnsi"/>
          <w:sz w:val="22"/>
          <w:szCs w:val="22"/>
        </w:rPr>
        <w:t xml:space="preserve">el artículo 100 de la ley 115 de 1994, </w:t>
      </w:r>
      <w:r w:rsidRPr="00333C4A">
        <w:rPr>
          <w:rFonts w:ascii="Century Gothic" w:hAnsi="Century Gothic" w:cstheme="minorHAnsi"/>
          <w:sz w:val="22"/>
          <w:szCs w:val="22"/>
        </w:rPr>
        <w:t xml:space="preserve">establece que </w:t>
      </w:r>
      <w:r w:rsidR="00FD7803" w:rsidRPr="00333C4A">
        <w:rPr>
          <w:rFonts w:ascii="Century Gothic" w:hAnsi="Century Gothic" w:cstheme="minorHAnsi"/>
          <w:sz w:val="22"/>
          <w:szCs w:val="22"/>
        </w:rPr>
        <w:t>los estudiantes que no se hallen amparados por algún sistema de seguridad social, en todos los niveles de la educación formal, deben estar protegidos por un seguro estudiantil de accidentes que ampare al educando.</w:t>
      </w:r>
    </w:p>
    <w:p w14:paraId="1C162E47" w14:textId="77777777" w:rsidR="00FD7803" w:rsidRPr="00333C4A" w:rsidRDefault="00FD7803" w:rsidP="00FD7803">
      <w:pPr>
        <w:ind w:left="720"/>
        <w:jc w:val="both"/>
        <w:rPr>
          <w:rFonts w:ascii="Century Gothic" w:hAnsi="Century Gothic" w:cstheme="minorHAnsi"/>
          <w:sz w:val="22"/>
          <w:szCs w:val="22"/>
        </w:rPr>
      </w:pPr>
    </w:p>
    <w:p w14:paraId="19FA1224" w14:textId="010C9673" w:rsidR="00FD7803" w:rsidRPr="00333C4A" w:rsidRDefault="00FD7803" w:rsidP="00FD7803">
      <w:pPr>
        <w:jc w:val="both"/>
        <w:rPr>
          <w:rFonts w:ascii="Century Gothic" w:hAnsi="Century Gothic" w:cstheme="minorHAnsi"/>
          <w:sz w:val="22"/>
          <w:szCs w:val="22"/>
        </w:rPr>
      </w:pPr>
      <w:r w:rsidRPr="00333C4A">
        <w:rPr>
          <w:rFonts w:ascii="Century Gothic" w:hAnsi="Century Gothic" w:cstheme="minorHAnsi"/>
          <w:sz w:val="22"/>
          <w:szCs w:val="22"/>
        </w:rPr>
        <w:t>Que, en virtud de lo anteriormente expuesto,</w:t>
      </w:r>
    </w:p>
    <w:p w14:paraId="2996B955" w14:textId="77777777" w:rsidR="002F0391" w:rsidRPr="00333C4A" w:rsidRDefault="002F0391" w:rsidP="002F0391">
      <w:pPr>
        <w:jc w:val="both"/>
        <w:rPr>
          <w:rFonts w:ascii="Century Gothic" w:hAnsi="Century Gothic" w:cstheme="minorHAnsi"/>
          <w:sz w:val="22"/>
          <w:szCs w:val="22"/>
        </w:rPr>
      </w:pPr>
    </w:p>
    <w:p w14:paraId="1650CBF2" w14:textId="77777777" w:rsidR="002F0391" w:rsidRPr="00333C4A" w:rsidRDefault="002F0391" w:rsidP="002F0391">
      <w:pPr>
        <w:jc w:val="center"/>
        <w:rPr>
          <w:rFonts w:ascii="Century Gothic" w:hAnsi="Century Gothic" w:cstheme="minorHAnsi"/>
          <w:b/>
          <w:sz w:val="22"/>
          <w:szCs w:val="22"/>
        </w:rPr>
      </w:pPr>
      <w:r w:rsidRPr="00333C4A">
        <w:rPr>
          <w:rFonts w:ascii="Century Gothic" w:hAnsi="Century Gothic" w:cstheme="minorHAnsi"/>
          <w:b/>
          <w:sz w:val="22"/>
          <w:szCs w:val="22"/>
        </w:rPr>
        <w:t>ACUERDA:</w:t>
      </w:r>
    </w:p>
    <w:p w14:paraId="34ACC321" w14:textId="77777777" w:rsidR="002F0391" w:rsidRPr="00333C4A" w:rsidRDefault="002F0391" w:rsidP="002F0391">
      <w:pPr>
        <w:jc w:val="both"/>
        <w:rPr>
          <w:rFonts w:ascii="Century Gothic" w:hAnsi="Century Gothic" w:cstheme="minorHAnsi"/>
          <w:sz w:val="22"/>
          <w:szCs w:val="22"/>
        </w:rPr>
      </w:pPr>
    </w:p>
    <w:p w14:paraId="5267B17C" w14:textId="77E28C3F" w:rsidR="00BB72DD" w:rsidRPr="00333C4A" w:rsidRDefault="002F0391" w:rsidP="002F0391">
      <w:pPr>
        <w:jc w:val="both"/>
        <w:rPr>
          <w:rFonts w:ascii="Century Gothic" w:hAnsi="Century Gothic" w:cstheme="minorHAnsi"/>
          <w:sz w:val="22"/>
          <w:szCs w:val="22"/>
        </w:rPr>
      </w:pPr>
      <w:r w:rsidRPr="00333C4A">
        <w:rPr>
          <w:rFonts w:ascii="Century Gothic" w:hAnsi="Century Gothic" w:cstheme="minorHAnsi"/>
          <w:b/>
          <w:sz w:val="22"/>
          <w:szCs w:val="22"/>
        </w:rPr>
        <w:t>ARTÍCULO 1°:</w:t>
      </w:r>
      <w:r w:rsidRPr="00333C4A">
        <w:rPr>
          <w:rFonts w:ascii="Century Gothic" w:hAnsi="Century Gothic" w:cstheme="minorHAnsi"/>
          <w:sz w:val="22"/>
          <w:szCs w:val="22"/>
        </w:rPr>
        <w:t xml:space="preserve"> </w:t>
      </w:r>
      <w:r w:rsidR="001E33DD" w:rsidRPr="00333C4A">
        <w:rPr>
          <w:rFonts w:ascii="Century Gothic" w:hAnsi="Century Gothic" w:cstheme="minorHAnsi"/>
          <w:sz w:val="22"/>
          <w:szCs w:val="22"/>
        </w:rPr>
        <w:t xml:space="preserve">Apruébese y fíjese el presupuesto ingresos de los Fondos de servicios Educativos de la INSTITUCIÓN EDUCATIVA RAÍCES DEL FUTURO, para la vigencia fiscal comprendida del 1º de Enero al 31 de diciembre del año 2021 en la suma de </w:t>
      </w:r>
      <w:r w:rsidR="00E92352" w:rsidRPr="00E92352">
        <w:rPr>
          <w:rFonts w:ascii="Century Gothic" w:hAnsi="Century Gothic" w:cstheme="minorHAnsi"/>
          <w:sz w:val="22"/>
          <w:szCs w:val="22"/>
        </w:rPr>
        <w:t>CIENTO ONCE MILLONES  SEISCIENTOS SESENTA Y TRES MIL DOSCIENTOS OCHO PESOS</w:t>
      </w:r>
      <w:r w:rsidR="001E33DD" w:rsidRPr="00E92352">
        <w:rPr>
          <w:rFonts w:ascii="Century Gothic" w:hAnsi="Century Gothic" w:cstheme="minorHAnsi"/>
          <w:sz w:val="22"/>
          <w:szCs w:val="22"/>
        </w:rPr>
        <w:t xml:space="preserve"> M/CTE ($ </w:t>
      </w:r>
      <w:r w:rsidR="00E92352" w:rsidRPr="00E92352">
        <w:rPr>
          <w:rFonts w:ascii="Century Gothic" w:hAnsi="Century Gothic" w:cstheme="minorHAnsi"/>
          <w:sz w:val="22"/>
          <w:szCs w:val="22"/>
        </w:rPr>
        <w:t>111.663.208</w:t>
      </w:r>
      <w:r w:rsidR="001E33DD" w:rsidRPr="00E92352">
        <w:rPr>
          <w:rFonts w:ascii="Century Gothic" w:hAnsi="Century Gothic" w:cstheme="minorHAnsi"/>
          <w:sz w:val="22"/>
          <w:szCs w:val="22"/>
        </w:rPr>
        <w:t>) MCTE,</w:t>
      </w:r>
      <w:r w:rsidR="001E33DD" w:rsidRPr="00333C4A">
        <w:rPr>
          <w:rFonts w:ascii="Century Gothic" w:hAnsi="Century Gothic" w:cstheme="minorHAnsi"/>
          <w:sz w:val="22"/>
          <w:szCs w:val="22"/>
        </w:rPr>
        <w:t xml:space="preserve"> según el siguiente detalle:</w:t>
      </w:r>
    </w:p>
    <w:tbl>
      <w:tblPr>
        <w:tblW w:w="5000" w:type="pct"/>
        <w:tblCellMar>
          <w:left w:w="70" w:type="dxa"/>
          <w:right w:w="70" w:type="dxa"/>
        </w:tblCellMar>
        <w:tblLook w:val="04A0" w:firstRow="1" w:lastRow="0" w:firstColumn="1" w:lastColumn="0" w:noHBand="0" w:noVBand="1"/>
      </w:tblPr>
      <w:tblGrid>
        <w:gridCol w:w="1727"/>
        <w:gridCol w:w="5595"/>
        <w:gridCol w:w="1605"/>
      </w:tblGrid>
      <w:tr w:rsidR="00E92352" w:rsidRPr="00E92352" w14:paraId="17D1B03F" w14:textId="77777777" w:rsidTr="00E92352">
        <w:trPr>
          <w:trHeight w:val="585"/>
          <w:tblHeader/>
        </w:trPr>
        <w:tc>
          <w:tcPr>
            <w:tcW w:w="967" w:type="pct"/>
            <w:tcBorders>
              <w:top w:val="single" w:sz="8" w:space="0" w:color="auto"/>
              <w:left w:val="single" w:sz="8" w:space="0" w:color="auto"/>
              <w:bottom w:val="single" w:sz="8" w:space="0" w:color="auto"/>
              <w:right w:val="single" w:sz="8" w:space="0" w:color="auto"/>
            </w:tcBorders>
            <w:shd w:val="clear" w:color="000000" w:fill="A9D08E"/>
            <w:vAlign w:val="center"/>
            <w:hideMark/>
          </w:tcPr>
          <w:p w14:paraId="3025F23D"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CODIGO PRESUPUESTAL </w:t>
            </w:r>
          </w:p>
        </w:tc>
        <w:tc>
          <w:tcPr>
            <w:tcW w:w="3134" w:type="pct"/>
            <w:tcBorders>
              <w:top w:val="single" w:sz="8" w:space="0" w:color="auto"/>
              <w:left w:val="nil"/>
              <w:bottom w:val="single" w:sz="8" w:space="0" w:color="auto"/>
              <w:right w:val="single" w:sz="8" w:space="0" w:color="auto"/>
            </w:tcBorders>
            <w:shd w:val="clear" w:color="000000" w:fill="A9D08E"/>
            <w:vAlign w:val="center"/>
            <w:hideMark/>
          </w:tcPr>
          <w:p w14:paraId="3ACAE035"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CONCEPTO </w:t>
            </w:r>
          </w:p>
        </w:tc>
        <w:tc>
          <w:tcPr>
            <w:tcW w:w="899" w:type="pct"/>
            <w:tcBorders>
              <w:top w:val="single" w:sz="8" w:space="0" w:color="auto"/>
              <w:left w:val="nil"/>
              <w:bottom w:val="single" w:sz="8" w:space="0" w:color="auto"/>
              <w:right w:val="single" w:sz="8" w:space="0" w:color="auto"/>
            </w:tcBorders>
            <w:shd w:val="clear" w:color="000000" w:fill="A9D08E"/>
            <w:vAlign w:val="center"/>
            <w:hideMark/>
          </w:tcPr>
          <w:p w14:paraId="14082720"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PRESUPUESTO INICIAL </w:t>
            </w:r>
          </w:p>
        </w:tc>
      </w:tr>
      <w:tr w:rsidR="00E92352" w:rsidRPr="00E92352" w14:paraId="4DB5A02E"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A9D08E"/>
            <w:vAlign w:val="center"/>
            <w:hideMark/>
          </w:tcPr>
          <w:p w14:paraId="62632E83"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w:t>
            </w:r>
          </w:p>
        </w:tc>
        <w:tc>
          <w:tcPr>
            <w:tcW w:w="3134" w:type="pct"/>
            <w:tcBorders>
              <w:top w:val="nil"/>
              <w:left w:val="nil"/>
              <w:bottom w:val="single" w:sz="8" w:space="0" w:color="auto"/>
              <w:right w:val="single" w:sz="8" w:space="0" w:color="auto"/>
            </w:tcBorders>
            <w:shd w:val="clear" w:color="000000" w:fill="A9D08E"/>
            <w:vAlign w:val="center"/>
            <w:hideMark/>
          </w:tcPr>
          <w:p w14:paraId="11FC3853"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INGRESOS </w:t>
            </w:r>
          </w:p>
        </w:tc>
        <w:tc>
          <w:tcPr>
            <w:tcW w:w="899" w:type="pct"/>
            <w:tcBorders>
              <w:top w:val="nil"/>
              <w:left w:val="nil"/>
              <w:bottom w:val="single" w:sz="8" w:space="0" w:color="auto"/>
              <w:right w:val="single" w:sz="8" w:space="0" w:color="auto"/>
            </w:tcBorders>
            <w:shd w:val="clear" w:color="000000" w:fill="A9D08E"/>
            <w:vAlign w:val="center"/>
            <w:hideMark/>
          </w:tcPr>
          <w:p w14:paraId="14098EBD"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w:t>
            </w:r>
          </w:p>
        </w:tc>
      </w:tr>
      <w:tr w:rsidR="00E92352" w:rsidRPr="00E92352" w14:paraId="67384A32"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4BCEF567"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1.1</w:t>
            </w:r>
          </w:p>
        </w:tc>
        <w:tc>
          <w:tcPr>
            <w:tcW w:w="3134" w:type="pct"/>
            <w:tcBorders>
              <w:top w:val="nil"/>
              <w:left w:val="nil"/>
              <w:bottom w:val="single" w:sz="8" w:space="0" w:color="auto"/>
              <w:right w:val="single" w:sz="8" w:space="0" w:color="auto"/>
            </w:tcBorders>
            <w:shd w:val="clear" w:color="000000" w:fill="E2EFDA"/>
            <w:vAlign w:val="center"/>
            <w:hideMark/>
          </w:tcPr>
          <w:p w14:paraId="5DA95173"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SERVICIOS EDUCATIVOS </w:t>
            </w:r>
          </w:p>
        </w:tc>
        <w:tc>
          <w:tcPr>
            <w:tcW w:w="899" w:type="pct"/>
            <w:tcBorders>
              <w:top w:val="nil"/>
              <w:left w:val="nil"/>
              <w:bottom w:val="single" w:sz="8" w:space="0" w:color="auto"/>
              <w:right w:val="single" w:sz="8" w:space="0" w:color="auto"/>
            </w:tcBorders>
            <w:shd w:val="clear" w:color="000000" w:fill="E2EFDA"/>
            <w:noWrap/>
            <w:vAlign w:val="center"/>
            <w:hideMark/>
          </w:tcPr>
          <w:p w14:paraId="43A68B3C" w14:textId="059E4549" w:rsidR="00E92352" w:rsidRPr="00E92352" w:rsidRDefault="001148D9" w:rsidP="00E92352">
            <w:pPr>
              <w:jc w:val="right"/>
              <w:rPr>
                <w:rFonts w:ascii="Century Gothic" w:hAnsi="Century Gothic" w:cs="Calibri"/>
                <w:b/>
                <w:bCs/>
                <w:color w:val="000000"/>
                <w:lang w:val="es-CO" w:eastAsia="es-CO"/>
              </w:rPr>
            </w:pPr>
            <w:r>
              <w:rPr>
                <w:rFonts w:ascii="Century Gothic" w:hAnsi="Century Gothic" w:cs="Calibri"/>
                <w:b/>
                <w:bCs/>
                <w:color w:val="000000"/>
                <w:lang w:val="es-CO" w:eastAsia="es-CO"/>
              </w:rPr>
              <w:t>3</w:t>
            </w:r>
            <w:r w:rsidR="00E92352" w:rsidRPr="00E92352">
              <w:rPr>
                <w:rFonts w:ascii="Century Gothic" w:hAnsi="Century Gothic" w:cs="Calibri"/>
                <w:b/>
                <w:bCs/>
                <w:color w:val="000000"/>
                <w:lang w:val="es-CO" w:eastAsia="es-CO"/>
              </w:rPr>
              <w:t>.000.000</w:t>
            </w:r>
          </w:p>
        </w:tc>
      </w:tr>
      <w:tr w:rsidR="00E92352" w:rsidRPr="00E92352" w14:paraId="31C5D764" w14:textId="77777777" w:rsidTr="00E92352">
        <w:trPr>
          <w:trHeight w:val="67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7583525A"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1.1.1</w:t>
            </w:r>
          </w:p>
        </w:tc>
        <w:tc>
          <w:tcPr>
            <w:tcW w:w="3134" w:type="pct"/>
            <w:tcBorders>
              <w:top w:val="nil"/>
              <w:left w:val="nil"/>
              <w:bottom w:val="single" w:sz="8" w:space="0" w:color="auto"/>
              <w:right w:val="single" w:sz="8" w:space="0" w:color="auto"/>
            </w:tcBorders>
            <w:shd w:val="clear" w:color="auto" w:fill="auto"/>
            <w:vAlign w:val="center"/>
            <w:hideMark/>
          </w:tcPr>
          <w:p w14:paraId="49FB4001"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Certificados y Constancias de Estudio (Ex alumnos)  Duplicados de Diplomas, Duplicados de Actas de Grado</w:t>
            </w:r>
          </w:p>
        </w:tc>
        <w:tc>
          <w:tcPr>
            <w:tcW w:w="899" w:type="pct"/>
            <w:tcBorders>
              <w:top w:val="nil"/>
              <w:left w:val="nil"/>
              <w:bottom w:val="single" w:sz="8" w:space="0" w:color="auto"/>
              <w:right w:val="single" w:sz="8" w:space="0" w:color="auto"/>
            </w:tcBorders>
            <w:shd w:val="clear" w:color="auto" w:fill="auto"/>
            <w:noWrap/>
            <w:vAlign w:val="center"/>
            <w:hideMark/>
          </w:tcPr>
          <w:p w14:paraId="46D34333" w14:textId="22BE48D0" w:rsidR="00E92352" w:rsidRPr="00E92352" w:rsidRDefault="005A778E" w:rsidP="00E92352">
            <w:pPr>
              <w:jc w:val="right"/>
              <w:rPr>
                <w:rFonts w:ascii="Century Gothic" w:hAnsi="Century Gothic" w:cs="Calibri"/>
                <w:color w:val="000000"/>
                <w:lang w:val="es-CO" w:eastAsia="es-CO"/>
              </w:rPr>
            </w:pPr>
            <w:r>
              <w:rPr>
                <w:rFonts w:ascii="Century Gothic" w:hAnsi="Century Gothic" w:cs="Calibri"/>
                <w:color w:val="000000"/>
                <w:lang w:val="es-CO" w:eastAsia="es-CO"/>
              </w:rPr>
              <w:t>3</w:t>
            </w:r>
            <w:r w:rsidR="00E92352" w:rsidRPr="00E92352">
              <w:rPr>
                <w:rFonts w:ascii="Century Gothic" w:hAnsi="Century Gothic" w:cs="Calibri"/>
                <w:color w:val="000000"/>
                <w:lang w:val="es-CO" w:eastAsia="es-CO"/>
              </w:rPr>
              <w:t>.000.000</w:t>
            </w:r>
          </w:p>
        </w:tc>
      </w:tr>
      <w:tr w:rsidR="00E92352" w:rsidRPr="00E92352" w14:paraId="39670967"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0DE4E555"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1.2</w:t>
            </w:r>
          </w:p>
        </w:tc>
        <w:tc>
          <w:tcPr>
            <w:tcW w:w="3134" w:type="pct"/>
            <w:tcBorders>
              <w:top w:val="nil"/>
              <w:left w:val="nil"/>
              <w:bottom w:val="single" w:sz="8" w:space="0" w:color="auto"/>
              <w:right w:val="single" w:sz="8" w:space="0" w:color="auto"/>
            </w:tcBorders>
            <w:shd w:val="clear" w:color="000000" w:fill="E2EFDA"/>
            <w:vAlign w:val="center"/>
            <w:hideMark/>
          </w:tcPr>
          <w:p w14:paraId="213EA4BB"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EXPLOTACION DE BIENES Y SERVICIOS </w:t>
            </w:r>
          </w:p>
        </w:tc>
        <w:tc>
          <w:tcPr>
            <w:tcW w:w="899" w:type="pct"/>
            <w:tcBorders>
              <w:top w:val="nil"/>
              <w:left w:val="nil"/>
              <w:bottom w:val="single" w:sz="8" w:space="0" w:color="auto"/>
              <w:right w:val="single" w:sz="8" w:space="0" w:color="auto"/>
            </w:tcBorders>
            <w:shd w:val="clear" w:color="000000" w:fill="E2EFDA"/>
            <w:noWrap/>
            <w:vAlign w:val="center"/>
            <w:hideMark/>
          </w:tcPr>
          <w:p w14:paraId="7B424BE8" w14:textId="08E7774A" w:rsidR="00E92352" w:rsidRPr="00E92352" w:rsidRDefault="005A778E" w:rsidP="00E92352">
            <w:pPr>
              <w:jc w:val="right"/>
              <w:rPr>
                <w:rFonts w:ascii="Century Gothic" w:hAnsi="Century Gothic" w:cs="Calibri"/>
                <w:b/>
                <w:bCs/>
                <w:color w:val="000000"/>
                <w:lang w:val="es-CO" w:eastAsia="es-CO"/>
              </w:rPr>
            </w:pPr>
            <w:r>
              <w:rPr>
                <w:rFonts w:ascii="Century Gothic" w:hAnsi="Century Gothic" w:cs="Calibri"/>
                <w:b/>
                <w:bCs/>
                <w:color w:val="000000"/>
                <w:lang w:val="es-CO" w:eastAsia="es-CO"/>
              </w:rPr>
              <w:t>3</w:t>
            </w:r>
            <w:r w:rsidR="00E92352" w:rsidRPr="00E92352">
              <w:rPr>
                <w:rFonts w:ascii="Century Gothic" w:hAnsi="Century Gothic" w:cs="Calibri"/>
                <w:b/>
                <w:bCs/>
                <w:color w:val="000000"/>
                <w:lang w:val="es-CO" w:eastAsia="es-CO"/>
              </w:rPr>
              <w:t>.000.000</w:t>
            </w:r>
          </w:p>
        </w:tc>
      </w:tr>
      <w:tr w:rsidR="00E92352" w:rsidRPr="00E92352" w14:paraId="4F90217D"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40E093A7"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1.2.1</w:t>
            </w:r>
          </w:p>
        </w:tc>
        <w:tc>
          <w:tcPr>
            <w:tcW w:w="3134" w:type="pct"/>
            <w:tcBorders>
              <w:top w:val="nil"/>
              <w:left w:val="nil"/>
              <w:bottom w:val="single" w:sz="8" w:space="0" w:color="auto"/>
              <w:right w:val="single" w:sz="8" w:space="0" w:color="auto"/>
            </w:tcBorders>
            <w:shd w:val="clear" w:color="auto" w:fill="auto"/>
            <w:vAlign w:val="center"/>
            <w:hideMark/>
          </w:tcPr>
          <w:p w14:paraId="028D4257"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Funcionamiento de la Tienda Escolar y servicio de fotocopias</w:t>
            </w:r>
          </w:p>
        </w:tc>
        <w:tc>
          <w:tcPr>
            <w:tcW w:w="899" w:type="pct"/>
            <w:tcBorders>
              <w:top w:val="nil"/>
              <w:left w:val="nil"/>
              <w:bottom w:val="single" w:sz="8" w:space="0" w:color="auto"/>
              <w:right w:val="single" w:sz="8" w:space="0" w:color="auto"/>
            </w:tcBorders>
            <w:shd w:val="clear" w:color="auto" w:fill="auto"/>
            <w:noWrap/>
            <w:vAlign w:val="center"/>
            <w:hideMark/>
          </w:tcPr>
          <w:p w14:paraId="0036C0D3" w14:textId="334FB80C" w:rsidR="00E92352" w:rsidRPr="00E92352" w:rsidRDefault="005A778E" w:rsidP="00E92352">
            <w:pPr>
              <w:jc w:val="right"/>
              <w:rPr>
                <w:rFonts w:ascii="Century Gothic" w:hAnsi="Century Gothic" w:cs="Calibri"/>
                <w:color w:val="000000"/>
                <w:lang w:val="es-CO" w:eastAsia="es-CO"/>
              </w:rPr>
            </w:pPr>
            <w:r>
              <w:rPr>
                <w:rFonts w:ascii="Century Gothic" w:hAnsi="Century Gothic" w:cs="Calibri"/>
                <w:color w:val="000000"/>
                <w:lang w:val="es-CO" w:eastAsia="es-CO"/>
              </w:rPr>
              <w:t>3</w:t>
            </w:r>
            <w:r w:rsidR="00E92352" w:rsidRPr="00E92352">
              <w:rPr>
                <w:rFonts w:ascii="Century Gothic" w:hAnsi="Century Gothic" w:cs="Calibri"/>
                <w:color w:val="000000"/>
                <w:lang w:val="es-CO" w:eastAsia="es-CO"/>
              </w:rPr>
              <w:t>.000.000</w:t>
            </w:r>
          </w:p>
        </w:tc>
      </w:tr>
      <w:tr w:rsidR="00E92352" w:rsidRPr="00E92352" w14:paraId="35AB7D3D"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6761AA25"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1.3</w:t>
            </w:r>
          </w:p>
        </w:tc>
        <w:tc>
          <w:tcPr>
            <w:tcW w:w="3134" w:type="pct"/>
            <w:tcBorders>
              <w:top w:val="nil"/>
              <w:left w:val="nil"/>
              <w:bottom w:val="single" w:sz="8" w:space="0" w:color="auto"/>
              <w:right w:val="single" w:sz="8" w:space="0" w:color="auto"/>
            </w:tcBorders>
            <w:shd w:val="clear" w:color="000000" w:fill="E2EFDA"/>
            <w:vAlign w:val="center"/>
            <w:hideMark/>
          </w:tcPr>
          <w:p w14:paraId="28C9330C"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TRANSFERENCIAS NACIONALES</w:t>
            </w:r>
          </w:p>
        </w:tc>
        <w:tc>
          <w:tcPr>
            <w:tcW w:w="899" w:type="pct"/>
            <w:tcBorders>
              <w:top w:val="nil"/>
              <w:left w:val="nil"/>
              <w:bottom w:val="single" w:sz="8" w:space="0" w:color="auto"/>
              <w:right w:val="single" w:sz="8" w:space="0" w:color="auto"/>
            </w:tcBorders>
            <w:shd w:val="clear" w:color="000000" w:fill="E2EFDA"/>
            <w:noWrap/>
            <w:vAlign w:val="center"/>
            <w:hideMark/>
          </w:tcPr>
          <w:p w14:paraId="49B81286"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75.717.698</w:t>
            </w:r>
          </w:p>
        </w:tc>
      </w:tr>
      <w:tr w:rsidR="00E92352" w:rsidRPr="00E92352" w14:paraId="5B843686"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0EF06FD8"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1.3.1</w:t>
            </w:r>
          </w:p>
        </w:tc>
        <w:tc>
          <w:tcPr>
            <w:tcW w:w="3134" w:type="pct"/>
            <w:tcBorders>
              <w:top w:val="nil"/>
              <w:left w:val="nil"/>
              <w:bottom w:val="single" w:sz="8" w:space="0" w:color="auto"/>
              <w:right w:val="single" w:sz="8" w:space="0" w:color="auto"/>
            </w:tcBorders>
            <w:shd w:val="clear" w:color="auto" w:fill="auto"/>
            <w:vAlign w:val="center"/>
            <w:hideMark/>
          </w:tcPr>
          <w:p w14:paraId="38FF6D6A"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Transferencias Nacionales de Gratuidad educativa</w:t>
            </w:r>
          </w:p>
        </w:tc>
        <w:tc>
          <w:tcPr>
            <w:tcW w:w="899" w:type="pct"/>
            <w:tcBorders>
              <w:top w:val="nil"/>
              <w:left w:val="nil"/>
              <w:bottom w:val="single" w:sz="8" w:space="0" w:color="auto"/>
              <w:right w:val="single" w:sz="8" w:space="0" w:color="auto"/>
            </w:tcBorders>
            <w:shd w:val="clear" w:color="auto" w:fill="auto"/>
            <w:noWrap/>
            <w:vAlign w:val="center"/>
            <w:hideMark/>
          </w:tcPr>
          <w:p w14:paraId="3A153AF9"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75.717.698</w:t>
            </w:r>
          </w:p>
        </w:tc>
      </w:tr>
      <w:tr w:rsidR="00E92352" w:rsidRPr="00E92352" w14:paraId="5CAB5555"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7A2CAB3C"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1.4</w:t>
            </w:r>
          </w:p>
        </w:tc>
        <w:tc>
          <w:tcPr>
            <w:tcW w:w="3134" w:type="pct"/>
            <w:tcBorders>
              <w:top w:val="nil"/>
              <w:left w:val="nil"/>
              <w:bottom w:val="single" w:sz="8" w:space="0" w:color="auto"/>
              <w:right w:val="single" w:sz="8" w:space="0" w:color="auto"/>
            </w:tcBorders>
            <w:shd w:val="clear" w:color="000000" w:fill="E2EFDA"/>
            <w:vAlign w:val="center"/>
            <w:hideMark/>
          </w:tcPr>
          <w:p w14:paraId="1EB226F8"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TRANSFERENCIA MUNICIPALES</w:t>
            </w:r>
          </w:p>
        </w:tc>
        <w:tc>
          <w:tcPr>
            <w:tcW w:w="899" w:type="pct"/>
            <w:tcBorders>
              <w:top w:val="nil"/>
              <w:left w:val="nil"/>
              <w:bottom w:val="single" w:sz="8" w:space="0" w:color="auto"/>
              <w:right w:val="single" w:sz="8" w:space="0" w:color="auto"/>
            </w:tcBorders>
            <w:shd w:val="clear" w:color="000000" w:fill="E2EFDA"/>
            <w:noWrap/>
            <w:vAlign w:val="center"/>
            <w:hideMark/>
          </w:tcPr>
          <w:p w14:paraId="338DA979"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29.146.510</w:t>
            </w:r>
          </w:p>
        </w:tc>
      </w:tr>
      <w:tr w:rsidR="00E92352" w:rsidRPr="00E92352" w14:paraId="658FB1DC"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33F57792"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1.4.1</w:t>
            </w:r>
          </w:p>
        </w:tc>
        <w:tc>
          <w:tcPr>
            <w:tcW w:w="3134" w:type="pct"/>
            <w:tcBorders>
              <w:top w:val="nil"/>
              <w:left w:val="nil"/>
              <w:bottom w:val="single" w:sz="8" w:space="0" w:color="auto"/>
              <w:right w:val="single" w:sz="8" w:space="0" w:color="auto"/>
            </w:tcBorders>
            <w:shd w:val="clear" w:color="auto" w:fill="auto"/>
            <w:vAlign w:val="center"/>
            <w:hideMark/>
          </w:tcPr>
          <w:p w14:paraId="6AF8DFC6"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Transferencias Municipales Gratuidad Educativa</w:t>
            </w:r>
          </w:p>
        </w:tc>
        <w:tc>
          <w:tcPr>
            <w:tcW w:w="899" w:type="pct"/>
            <w:tcBorders>
              <w:top w:val="nil"/>
              <w:left w:val="nil"/>
              <w:bottom w:val="single" w:sz="8" w:space="0" w:color="auto"/>
              <w:right w:val="single" w:sz="8" w:space="0" w:color="auto"/>
            </w:tcBorders>
            <w:shd w:val="clear" w:color="auto" w:fill="auto"/>
            <w:noWrap/>
            <w:vAlign w:val="center"/>
            <w:hideMark/>
          </w:tcPr>
          <w:p w14:paraId="68AD908F"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29.145.510</w:t>
            </w:r>
          </w:p>
        </w:tc>
      </w:tr>
      <w:tr w:rsidR="00E92352" w:rsidRPr="00E92352" w14:paraId="21864506" w14:textId="77777777" w:rsidTr="00E92352">
        <w:trPr>
          <w:trHeight w:val="67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54A7450C"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1.4.2</w:t>
            </w:r>
          </w:p>
        </w:tc>
        <w:tc>
          <w:tcPr>
            <w:tcW w:w="3134" w:type="pct"/>
            <w:tcBorders>
              <w:top w:val="nil"/>
              <w:left w:val="nil"/>
              <w:bottom w:val="single" w:sz="8" w:space="0" w:color="auto"/>
              <w:right w:val="single" w:sz="8" w:space="0" w:color="auto"/>
            </w:tcBorders>
            <w:shd w:val="clear" w:color="auto" w:fill="auto"/>
            <w:vAlign w:val="center"/>
            <w:hideMark/>
          </w:tcPr>
          <w:p w14:paraId="3010CE6D"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Otras transferencias Municipales para proyectos de calidad educativa o mejoramiento de infraestructura</w:t>
            </w:r>
          </w:p>
        </w:tc>
        <w:tc>
          <w:tcPr>
            <w:tcW w:w="899" w:type="pct"/>
            <w:tcBorders>
              <w:top w:val="nil"/>
              <w:left w:val="nil"/>
              <w:bottom w:val="single" w:sz="8" w:space="0" w:color="auto"/>
              <w:right w:val="single" w:sz="8" w:space="0" w:color="auto"/>
            </w:tcBorders>
            <w:shd w:val="clear" w:color="auto" w:fill="auto"/>
            <w:noWrap/>
            <w:vAlign w:val="center"/>
            <w:hideMark/>
          </w:tcPr>
          <w:p w14:paraId="0FCC091D"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4EEE0C1B"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3712C674"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1.6</w:t>
            </w:r>
          </w:p>
        </w:tc>
        <w:tc>
          <w:tcPr>
            <w:tcW w:w="3134" w:type="pct"/>
            <w:tcBorders>
              <w:top w:val="nil"/>
              <w:left w:val="nil"/>
              <w:bottom w:val="single" w:sz="8" w:space="0" w:color="auto"/>
              <w:right w:val="single" w:sz="8" w:space="0" w:color="auto"/>
            </w:tcBorders>
            <w:shd w:val="clear" w:color="000000" w:fill="E2EFDA"/>
            <w:vAlign w:val="center"/>
            <w:hideMark/>
          </w:tcPr>
          <w:p w14:paraId="665430B9"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RECURSOS DE CAPITAL </w:t>
            </w:r>
          </w:p>
        </w:tc>
        <w:tc>
          <w:tcPr>
            <w:tcW w:w="899" w:type="pct"/>
            <w:tcBorders>
              <w:top w:val="nil"/>
              <w:left w:val="nil"/>
              <w:bottom w:val="single" w:sz="8" w:space="0" w:color="auto"/>
              <w:right w:val="single" w:sz="8" w:space="0" w:color="auto"/>
            </w:tcBorders>
            <w:shd w:val="clear" w:color="000000" w:fill="E2EFDA"/>
            <w:noWrap/>
            <w:vAlign w:val="center"/>
            <w:hideMark/>
          </w:tcPr>
          <w:p w14:paraId="46DE0837"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799.000</w:t>
            </w:r>
          </w:p>
        </w:tc>
      </w:tr>
      <w:tr w:rsidR="00E92352" w:rsidRPr="00E92352" w14:paraId="24D99FA9"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1D5357C1"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1.6.1</w:t>
            </w:r>
          </w:p>
        </w:tc>
        <w:tc>
          <w:tcPr>
            <w:tcW w:w="3134" w:type="pct"/>
            <w:tcBorders>
              <w:top w:val="nil"/>
              <w:left w:val="nil"/>
              <w:bottom w:val="single" w:sz="8" w:space="0" w:color="auto"/>
              <w:right w:val="single" w:sz="8" w:space="0" w:color="auto"/>
            </w:tcBorders>
            <w:shd w:val="clear" w:color="000000" w:fill="E2EFDA"/>
            <w:vAlign w:val="center"/>
            <w:hideMark/>
          </w:tcPr>
          <w:p w14:paraId="215A48D4"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RENDIMIENTOS FINANCIEROS</w:t>
            </w:r>
          </w:p>
        </w:tc>
        <w:tc>
          <w:tcPr>
            <w:tcW w:w="899" w:type="pct"/>
            <w:tcBorders>
              <w:top w:val="nil"/>
              <w:left w:val="nil"/>
              <w:bottom w:val="single" w:sz="8" w:space="0" w:color="auto"/>
              <w:right w:val="single" w:sz="8" w:space="0" w:color="auto"/>
            </w:tcBorders>
            <w:shd w:val="clear" w:color="000000" w:fill="E2EFDA"/>
            <w:noWrap/>
            <w:vAlign w:val="center"/>
            <w:hideMark/>
          </w:tcPr>
          <w:p w14:paraId="1FA8ABF5"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794.000</w:t>
            </w:r>
          </w:p>
        </w:tc>
      </w:tr>
      <w:tr w:rsidR="00E92352" w:rsidRPr="00E92352" w14:paraId="5B170E56"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4BCEDF13"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lastRenderedPageBreak/>
              <w:t>1.6.1.1</w:t>
            </w:r>
          </w:p>
        </w:tc>
        <w:tc>
          <w:tcPr>
            <w:tcW w:w="3134" w:type="pct"/>
            <w:tcBorders>
              <w:top w:val="nil"/>
              <w:left w:val="nil"/>
              <w:bottom w:val="single" w:sz="8" w:space="0" w:color="auto"/>
              <w:right w:val="single" w:sz="8" w:space="0" w:color="auto"/>
            </w:tcBorders>
            <w:shd w:val="clear" w:color="auto" w:fill="auto"/>
            <w:vAlign w:val="center"/>
            <w:hideMark/>
          </w:tcPr>
          <w:p w14:paraId="5A50BD15"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 xml:space="preserve">Rendimientos Financieros - Recursos Propios </w:t>
            </w:r>
          </w:p>
        </w:tc>
        <w:tc>
          <w:tcPr>
            <w:tcW w:w="899" w:type="pct"/>
            <w:tcBorders>
              <w:top w:val="nil"/>
              <w:left w:val="nil"/>
              <w:bottom w:val="single" w:sz="8" w:space="0" w:color="auto"/>
              <w:right w:val="single" w:sz="8" w:space="0" w:color="auto"/>
            </w:tcBorders>
            <w:shd w:val="clear" w:color="auto" w:fill="auto"/>
            <w:noWrap/>
            <w:vAlign w:val="center"/>
            <w:hideMark/>
          </w:tcPr>
          <w:p w14:paraId="6672BF05"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194.000</w:t>
            </w:r>
          </w:p>
        </w:tc>
      </w:tr>
      <w:tr w:rsidR="00E92352" w:rsidRPr="00E92352" w14:paraId="0306B6F1"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1E8DEC2F"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1.6.1.2</w:t>
            </w:r>
          </w:p>
        </w:tc>
        <w:tc>
          <w:tcPr>
            <w:tcW w:w="3134" w:type="pct"/>
            <w:tcBorders>
              <w:top w:val="nil"/>
              <w:left w:val="nil"/>
              <w:bottom w:val="single" w:sz="8" w:space="0" w:color="auto"/>
              <w:right w:val="single" w:sz="8" w:space="0" w:color="auto"/>
            </w:tcBorders>
            <w:shd w:val="clear" w:color="auto" w:fill="auto"/>
            <w:vAlign w:val="center"/>
            <w:hideMark/>
          </w:tcPr>
          <w:p w14:paraId="45AA92FA"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Rendimientos Financieros - Transferencias Nacionales</w:t>
            </w:r>
          </w:p>
        </w:tc>
        <w:tc>
          <w:tcPr>
            <w:tcW w:w="899" w:type="pct"/>
            <w:tcBorders>
              <w:top w:val="nil"/>
              <w:left w:val="nil"/>
              <w:bottom w:val="single" w:sz="8" w:space="0" w:color="auto"/>
              <w:right w:val="single" w:sz="8" w:space="0" w:color="auto"/>
            </w:tcBorders>
            <w:shd w:val="clear" w:color="auto" w:fill="auto"/>
            <w:noWrap/>
            <w:vAlign w:val="center"/>
            <w:hideMark/>
          </w:tcPr>
          <w:p w14:paraId="3BD55ABC"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300.000</w:t>
            </w:r>
          </w:p>
        </w:tc>
      </w:tr>
      <w:tr w:rsidR="00E92352" w:rsidRPr="00E92352" w14:paraId="442BBAAA"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33A4EA75"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1.6.1.3</w:t>
            </w:r>
          </w:p>
        </w:tc>
        <w:tc>
          <w:tcPr>
            <w:tcW w:w="3134" w:type="pct"/>
            <w:tcBorders>
              <w:top w:val="nil"/>
              <w:left w:val="nil"/>
              <w:bottom w:val="single" w:sz="8" w:space="0" w:color="auto"/>
              <w:right w:val="single" w:sz="8" w:space="0" w:color="auto"/>
            </w:tcBorders>
            <w:shd w:val="clear" w:color="auto" w:fill="auto"/>
            <w:vAlign w:val="center"/>
            <w:hideMark/>
          </w:tcPr>
          <w:p w14:paraId="58C3591B"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Rendimientos Financieros - Transferencias Municipales</w:t>
            </w:r>
          </w:p>
        </w:tc>
        <w:tc>
          <w:tcPr>
            <w:tcW w:w="899" w:type="pct"/>
            <w:tcBorders>
              <w:top w:val="nil"/>
              <w:left w:val="nil"/>
              <w:bottom w:val="single" w:sz="8" w:space="0" w:color="auto"/>
              <w:right w:val="single" w:sz="8" w:space="0" w:color="auto"/>
            </w:tcBorders>
            <w:shd w:val="clear" w:color="auto" w:fill="auto"/>
            <w:noWrap/>
            <w:vAlign w:val="center"/>
            <w:hideMark/>
          </w:tcPr>
          <w:p w14:paraId="593E400B"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300.000</w:t>
            </w:r>
          </w:p>
        </w:tc>
      </w:tr>
      <w:tr w:rsidR="00E92352" w:rsidRPr="00E92352" w14:paraId="0EA0F9F4"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5CA4EF56"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1.6.2</w:t>
            </w:r>
          </w:p>
        </w:tc>
        <w:tc>
          <w:tcPr>
            <w:tcW w:w="3134" w:type="pct"/>
            <w:tcBorders>
              <w:top w:val="nil"/>
              <w:left w:val="nil"/>
              <w:bottom w:val="single" w:sz="8" w:space="0" w:color="auto"/>
              <w:right w:val="single" w:sz="8" w:space="0" w:color="auto"/>
            </w:tcBorders>
            <w:shd w:val="clear" w:color="000000" w:fill="E2EFDA"/>
            <w:vAlign w:val="center"/>
            <w:hideMark/>
          </w:tcPr>
          <w:p w14:paraId="3E7E9F71"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RECURSOS DEL BALANCE</w:t>
            </w:r>
          </w:p>
        </w:tc>
        <w:tc>
          <w:tcPr>
            <w:tcW w:w="899" w:type="pct"/>
            <w:tcBorders>
              <w:top w:val="nil"/>
              <w:left w:val="nil"/>
              <w:bottom w:val="single" w:sz="8" w:space="0" w:color="auto"/>
              <w:right w:val="single" w:sz="8" w:space="0" w:color="auto"/>
            </w:tcBorders>
            <w:shd w:val="clear" w:color="000000" w:fill="E2EFDA"/>
            <w:noWrap/>
            <w:vAlign w:val="center"/>
            <w:hideMark/>
          </w:tcPr>
          <w:p w14:paraId="1AB78CCB"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4.000</w:t>
            </w:r>
          </w:p>
        </w:tc>
      </w:tr>
      <w:tr w:rsidR="00E92352" w:rsidRPr="00E92352" w14:paraId="41C709F6"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50A1AD94"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1.6.2.1</w:t>
            </w:r>
          </w:p>
        </w:tc>
        <w:tc>
          <w:tcPr>
            <w:tcW w:w="3134" w:type="pct"/>
            <w:tcBorders>
              <w:top w:val="nil"/>
              <w:left w:val="nil"/>
              <w:bottom w:val="single" w:sz="8" w:space="0" w:color="auto"/>
              <w:right w:val="single" w:sz="8" w:space="0" w:color="auto"/>
            </w:tcBorders>
            <w:shd w:val="clear" w:color="auto" w:fill="auto"/>
            <w:vAlign w:val="center"/>
            <w:hideMark/>
          </w:tcPr>
          <w:p w14:paraId="658CD97C"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Recursos del Balance - Recursos Propios</w:t>
            </w:r>
          </w:p>
        </w:tc>
        <w:tc>
          <w:tcPr>
            <w:tcW w:w="899" w:type="pct"/>
            <w:tcBorders>
              <w:top w:val="nil"/>
              <w:left w:val="nil"/>
              <w:bottom w:val="single" w:sz="8" w:space="0" w:color="auto"/>
              <w:right w:val="single" w:sz="8" w:space="0" w:color="auto"/>
            </w:tcBorders>
            <w:shd w:val="clear" w:color="auto" w:fill="auto"/>
            <w:noWrap/>
            <w:vAlign w:val="center"/>
            <w:hideMark/>
          </w:tcPr>
          <w:p w14:paraId="67805844"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14E698B6"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0BD5F35E"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1.6.2.2</w:t>
            </w:r>
          </w:p>
        </w:tc>
        <w:tc>
          <w:tcPr>
            <w:tcW w:w="3134" w:type="pct"/>
            <w:tcBorders>
              <w:top w:val="nil"/>
              <w:left w:val="nil"/>
              <w:bottom w:val="single" w:sz="8" w:space="0" w:color="auto"/>
              <w:right w:val="single" w:sz="8" w:space="0" w:color="auto"/>
            </w:tcBorders>
            <w:shd w:val="clear" w:color="auto" w:fill="auto"/>
            <w:vAlign w:val="center"/>
            <w:hideMark/>
          </w:tcPr>
          <w:p w14:paraId="29E61E30"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Recursos del Balance - Transferencias Nacionales</w:t>
            </w:r>
          </w:p>
        </w:tc>
        <w:tc>
          <w:tcPr>
            <w:tcW w:w="899" w:type="pct"/>
            <w:tcBorders>
              <w:top w:val="nil"/>
              <w:left w:val="nil"/>
              <w:bottom w:val="single" w:sz="8" w:space="0" w:color="auto"/>
              <w:right w:val="single" w:sz="8" w:space="0" w:color="auto"/>
            </w:tcBorders>
            <w:shd w:val="clear" w:color="auto" w:fill="auto"/>
            <w:noWrap/>
            <w:vAlign w:val="center"/>
            <w:hideMark/>
          </w:tcPr>
          <w:p w14:paraId="7C20E463"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6036E40C"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6D7D4393"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1.6.2.3</w:t>
            </w:r>
          </w:p>
        </w:tc>
        <w:tc>
          <w:tcPr>
            <w:tcW w:w="3134" w:type="pct"/>
            <w:tcBorders>
              <w:top w:val="nil"/>
              <w:left w:val="nil"/>
              <w:bottom w:val="single" w:sz="8" w:space="0" w:color="auto"/>
              <w:right w:val="single" w:sz="8" w:space="0" w:color="auto"/>
            </w:tcBorders>
            <w:shd w:val="clear" w:color="auto" w:fill="auto"/>
            <w:vAlign w:val="center"/>
            <w:hideMark/>
          </w:tcPr>
          <w:p w14:paraId="799646D9"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Recursos del Balance - Transferencias Municipales</w:t>
            </w:r>
          </w:p>
        </w:tc>
        <w:tc>
          <w:tcPr>
            <w:tcW w:w="899" w:type="pct"/>
            <w:tcBorders>
              <w:top w:val="nil"/>
              <w:left w:val="nil"/>
              <w:bottom w:val="single" w:sz="8" w:space="0" w:color="auto"/>
              <w:right w:val="single" w:sz="8" w:space="0" w:color="auto"/>
            </w:tcBorders>
            <w:shd w:val="clear" w:color="auto" w:fill="auto"/>
            <w:noWrap/>
            <w:vAlign w:val="center"/>
            <w:hideMark/>
          </w:tcPr>
          <w:p w14:paraId="1528FB21"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11A2A19B"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34D79001"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1.6.2.4</w:t>
            </w:r>
          </w:p>
        </w:tc>
        <w:tc>
          <w:tcPr>
            <w:tcW w:w="3134" w:type="pct"/>
            <w:tcBorders>
              <w:top w:val="nil"/>
              <w:left w:val="nil"/>
              <w:bottom w:val="single" w:sz="8" w:space="0" w:color="auto"/>
              <w:right w:val="single" w:sz="8" w:space="0" w:color="auto"/>
            </w:tcBorders>
            <w:shd w:val="clear" w:color="auto" w:fill="auto"/>
            <w:vAlign w:val="center"/>
            <w:hideMark/>
          </w:tcPr>
          <w:p w14:paraId="4CBC4291"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 xml:space="preserve">Recursos del Balance - Otros </w:t>
            </w:r>
          </w:p>
        </w:tc>
        <w:tc>
          <w:tcPr>
            <w:tcW w:w="899" w:type="pct"/>
            <w:tcBorders>
              <w:top w:val="nil"/>
              <w:left w:val="nil"/>
              <w:bottom w:val="single" w:sz="8" w:space="0" w:color="auto"/>
              <w:right w:val="single" w:sz="8" w:space="0" w:color="auto"/>
            </w:tcBorders>
            <w:shd w:val="clear" w:color="auto" w:fill="auto"/>
            <w:noWrap/>
            <w:vAlign w:val="center"/>
            <w:hideMark/>
          </w:tcPr>
          <w:p w14:paraId="6D528419"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48F0D16A" w14:textId="77777777" w:rsidTr="00E92352">
        <w:trPr>
          <w:trHeight w:val="315"/>
        </w:trPr>
        <w:tc>
          <w:tcPr>
            <w:tcW w:w="967" w:type="pct"/>
            <w:tcBorders>
              <w:top w:val="nil"/>
              <w:left w:val="single" w:sz="8" w:space="0" w:color="auto"/>
              <w:bottom w:val="single" w:sz="8" w:space="0" w:color="auto"/>
              <w:right w:val="single" w:sz="8" w:space="0" w:color="auto"/>
            </w:tcBorders>
            <w:shd w:val="clear" w:color="000000" w:fill="E2EFDA"/>
            <w:noWrap/>
            <w:vAlign w:val="center"/>
            <w:hideMark/>
          </w:tcPr>
          <w:p w14:paraId="271E67CA" w14:textId="77777777" w:rsidR="00E92352" w:rsidRPr="00E92352" w:rsidRDefault="00E92352" w:rsidP="00E92352">
            <w:pPr>
              <w:jc w:val="cente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1.6.3</w:t>
            </w:r>
          </w:p>
        </w:tc>
        <w:tc>
          <w:tcPr>
            <w:tcW w:w="3134" w:type="pct"/>
            <w:tcBorders>
              <w:top w:val="nil"/>
              <w:left w:val="nil"/>
              <w:bottom w:val="single" w:sz="8" w:space="0" w:color="auto"/>
              <w:right w:val="single" w:sz="8" w:space="0" w:color="auto"/>
            </w:tcBorders>
            <w:shd w:val="clear" w:color="000000" w:fill="E2EFDA"/>
            <w:vAlign w:val="center"/>
            <w:hideMark/>
          </w:tcPr>
          <w:p w14:paraId="548077DD"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OTROS RECURSOS DE CAPITAL</w:t>
            </w:r>
          </w:p>
        </w:tc>
        <w:tc>
          <w:tcPr>
            <w:tcW w:w="899" w:type="pct"/>
            <w:tcBorders>
              <w:top w:val="nil"/>
              <w:left w:val="nil"/>
              <w:bottom w:val="single" w:sz="8" w:space="0" w:color="auto"/>
              <w:right w:val="single" w:sz="8" w:space="0" w:color="auto"/>
            </w:tcBorders>
            <w:shd w:val="clear" w:color="000000" w:fill="E2EFDA"/>
            <w:noWrap/>
            <w:vAlign w:val="center"/>
            <w:hideMark/>
          </w:tcPr>
          <w:p w14:paraId="5F833E10"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1.000</w:t>
            </w:r>
          </w:p>
        </w:tc>
      </w:tr>
      <w:tr w:rsidR="00E92352" w:rsidRPr="00E92352" w14:paraId="4D6FF1F8" w14:textId="77777777" w:rsidTr="00E92352">
        <w:trPr>
          <w:trHeight w:val="345"/>
        </w:trPr>
        <w:tc>
          <w:tcPr>
            <w:tcW w:w="967" w:type="pct"/>
            <w:tcBorders>
              <w:top w:val="nil"/>
              <w:left w:val="single" w:sz="8" w:space="0" w:color="auto"/>
              <w:bottom w:val="single" w:sz="8" w:space="0" w:color="auto"/>
              <w:right w:val="single" w:sz="8" w:space="0" w:color="auto"/>
            </w:tcBorders>
            <w:shd w:val="clear" w:color="auto" w:fill="auto"/>
            <w:noWrap/>
            <w:vAlign w:val="center"/>
            <w:hideMark/>
          </w:tcPr>
          <w:p w14:paraId="599EB509" w14:textId="77777777" w:rsidR="00E92352" w:rsidRPr="00E92352" w:rsidRDefault="00E92352" w:rsidP="00E92352">
            <w:pPr>
              <w:jc w:val="center"/>
              <w:rPr>
                <w:rFonts w:ascii="Century Gothic" w:hAnsi="Century Gothic" w:cs="Calibri"/>
                <w:color w:val="000000"/>
                <w:lang w:val="es-CO" w:eastAsia="es-CO"/>
              </w:rPr>
            </w:pPr>
            <w:r w:rsidRPr="00E92352">
              <w:rPr>
                <w:rFonts w:ascii="Century Gothic" w:hAnsi="Century Gothic" w:cs="Calibri"/>
                <w:color w:val="000000"/>
                <w:lang w:val="es-CO" w:eastAsia="es-CO"/>
              </w:rPr>
              <w:t>1.6.3.1</w:t>
            </w:r>
          </w:p>
        </w:tc>
        <w:tc>
          <w:tcPr>
            <w:tcW w:w="3134" w:type="pct"/>
            <w:tcBorders>
              <w:top w:val="nil"/>
              <w:left w:val="nil"/>
              <w:bottom w:val="single" w:sz="8" w:space="0" w:color="auto"/>
              <w:right w:val="single" w:sz="8" w:space="0" w:color="auto"/>
            </w:tcBorders>
            <w:shd w:val="clear" w:color="auto" w:fill="auto"/>
            <w:vAlign w:val="center"/>
            <w:hideMark/>
          </w:tcPr>
          <w:p w14:paraId="3893F8D4" w14:textId="77777777" w:rsidR="00E92352" w:rsidRPr="00E92352" w:rsidRDefault="00E92352" w:rsidP="00E92352">
            <w:pPr>
              <w:rPr>
                <w:rFonts w:ascii="Century Gothic" w:hAnsi="Century Gothic" w:cs="Calibri"/>
                <w:color w:val="000000"/>
                <w:lang w:val="es-CO" w:eastAsia="es-CO"/>
              </w:rPr>
            </w:pPr>
            <w:r w:rsidRPr="00E92352">
              <w:rPr>
                <w:rFonts w:ascii="Century Gothic" w:hAnsi="Century Gothic" w:cs="Calibri"/>
                <w:color w:val="000000"/>
                <w:lang w:val="es-CO" w:eastAsia="es-CO"/>
              </w:rPr>
              <w:t>Otros Recursos de Capital (Indemnizaciones, reintegros, otros)</w:t>
            </w:r>
          </w:p>
        </w:tc>
        <w:tc>
          <w:tcPr>
            <w:tcW w:w="899" w:type="pct"/>
            <w:tcBorders>
              <w:top w:val="nil"/>
              <w:left w:val="nil"/>
              <w:bottom w:val="single" w:sz="8" w:space="0" w:color="auto"/>
              <w:right w:val="single" w:sz="8" w:space="0" w:color="auto"/>
            </w:tcBorders>
            <w:shd w:val="clear" w:color="auto" w:fill="auto"/>
            <w:noWrap/>
            <w:vAlign w:val="center"/>
            <w:hideMark/>
          </w:tcPr>
          <w:p w14:paraId="1FBDBFB3" w14:textId="77777777" w:rsidR="00E92352" w:rsidRPr="00E92352" w:rsidRDefault="00E92352" w:rsidP="00E92352">
            <w:pPr>
              <w:jc w:val="right"/>
              <w:rPr>
                <w:rFonts w:ascii="Century Gothic" w:hAnsi="Century Gothic" w:cs="Calibri"/>
                <w:color w:val="000000"/>
                <w:lang w:val="es-CO" w:eastAsia="es-CO"/>
              </w:rPr>
            </w:pPr>
            <w:r w:rsidRPr="00E92352">
              <w:rPr>
                <w:rFonts w:ascii="Century Gothic" w:hAnsi="Century Gothic" w:cs="Calibri"/>
                <w:color w:val="000000"/>
                <w:lang w:val="es-CO" w:eastAsia="es-CO"/>
              </w:rPr>
              <w:t>1.000</w:t>
            </w:r>
          </w:p>
        </w:tc>
      </w:tr>
      <w:tr w:rsidR="00E92352" w:rsidRPr="00E92352" w14:paraId="5543E8B6" w14:textId="77777777" w:rsidTr="00E92352">
        <w:trPr>
          <w:trHeight w:val="315"/>
        </w:trPr>
        <w:tc>
          <w:tcPr>
            <w:tcW w:w="967" w:type="pct"/>
            <w:tcBorders>
              <w:top w:val="nil"/>
              <w:left w:val="nil"/>
              <w:bottom w:val="nil"/>
              <w:right w:val="nil"/>
            </w:tcBorders>
            <w:shd w:val="clear" w:color="auto" w:fill="auto"/>
            <w:noWrap/>
            <w:vAlign w:val="center"/>
            <w:hideMark/>
          </w:tcPr>
          <w:p w14:paraId="5AA29CEC" w14:textId="77777777" w:rsidR="00E92352" w:rsidRPr="00E92352" w:rsidRDefault="00E92352" w:rsidP="00E92352">
            <w:pPr>
              <w:jc w:val="right"/>
              <w:rPr>
                <w:rFonts w:ascii="Century Gothic" w:hAnsi="Century Gothic" w:cs="Calibri"/>
                <w:color w:val="000000"/>
                <w:lang w:val="es-CO" w:eastAsia="es-CO"/>
              </w:rPr>
            </w:pPr>
          </w:p>
        </w:tc>
        <w:tc>
          <w:tcPr>
            <w:tcW w:w="3134" w:type="pct"/>
            <w:tcBorders>
              <w:top w:val="nil"/>
              <w:left w:val="single" w:sz="8" w:space="0" w:color="auto"/>
              <w:bottom w:val="single" w:sz="8" w:space="0" w:color="auto"/>
              <w:right w:val="single" w:sz="8" w:space="0" w:color="auto"/>
            </w:tcBorders>
            <w:shd w:val="clear" w:color="000000" w:fill="A9D08E"/>
            <w:noWrap/>
            <w:vAlign w:val="center"/>
            <w:hideMark/>
          </w:tcPr>
          <w:p w14:paraId="2B6ADDCE" w14:textId="77777777" w:rsidR="00E92352" w:rsidRPr="00E92352" w:rsidRDefault="00E92352" w:rsidP="00E92352">
            <w:pPr>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 xml:space="preserve">TOTAL INGRESOS </w:t>
            </w:r>
          </w:p>
        </w:tc>
        <w:tc>
          <w:tcPr>
            <w:tcW w:w="899" w:type="pct"/>
            <w:tcBorders>
              <w:top w:val="nil"/>
              <w:left w:val="nil"/>
              <w:bottom w:val="single" w:sz="8" w:space="0" w:color="auto"/>
              <w:right w:val="single" w:sz="8" w:space="0" w:color="auto"/>
            </w:tcBorders>
            <w:shd w:val="clear" w:color="000000" w:fill="A9D08E"/>
            <w:noWrap/>
            <w:vAlign w:val="center"/>
            <w:hideMark/>
          </w:tcPr>
          <w:p w14:paraId="3DCBFA08" w14:textId="77777777" w:rsidR="00E92352" w:rsidRPr="00E92352" w:rsidRDefault="00E92352" w:rsidP="00E92352">
            <w:pPr>
              <w:jc w:val="right"/>
              <w:rPr>
                <w:rFonts w:ascii="Century Gothic" w:hAnsi="Century Gothic" w:cs="Calibri"/>
                <w:b/>
                <w:bCs/>
                <w:color w:val="000000"/>
                <w:lang w:val="es-CO" w:eastAsia="es-CO"/>
              </w:rPr>
            </w:pPr>
            <w:r w:rsidRPr="00E92352">
              <w:rPr>
                <w:rFonts w:ascii="Century Gothic" w:hAnsi="Century Gothic" w:cs="Calibri"/>
                <w:b/>
                <w:bCs/>
                <w:color w:val="000000"/>
                <w:lang w:val="es-CO" w:eastAsia="es-CO"/>
              </w:rPr>
              <w:t>111.663.208</w:t>
            </w:r>
          </w:p>
        </w:tc>
      </w:tr>
    </w:tbl>
    <w:p w14:paraId="75211579" w14:textId="77777777" w:rsidR="001E33DD" w:rsidRPr="00333C4A" w:rsidRDefault="001E33DD" w:rsidP="002F0391">
      <w:pPr>
        <w:jc w:val="both"/>
        <w:rPr>
          <w:rFonts w:ascii="Century Gothic" w:hAnsi="Century Gothic" w:cstheme="minorHAnsi"/>
          <w:sz w:val="22"/>
          <w:szCs w:val="22"/>
        </w:rPr>
      </w:pPr>
    </w:p>
    <w:p w14:paraId="4A35EC9D" w14:textId="11C319A8" w:rsidR="00BB72DD" w:rsidRPr="00333C4A" w:rsidRDefault="00BB72DD" w:rsidP="002F0391">
      <w:pPr>
        <w:jc w:val="both"/>
        <w:rPr>
          <w:rFonts w:ascii="Century Gothic" w:hAnsi="Century Gothic" w:cstheme="minorHAnsi"/>
          <w:sz w:val="22"/>
          <w:szCs w:val="22"/>
        </w:rPr>
      </w:pPr>
    </w:p>
    <w:p w14:paraId="7C3229B9" w14:textId="0EB6A151" w:rsidR="002F0391" w:rsidRPr="00333C4A" w:rsidRDefault="002F0391" w:rsidP="002F0391">
      <w:pPr>
        <w:jc w:val="both"/>
        <w:rPr>
          <w:rFonts w:ascii="Century Gothic" w:hAnsi="Century Gothic" w:cstheme="minorHAnsi"/>
          <w:b/>
          <w:sz w:val="22"/>
          <w:szCs w:val="22"/>
        </w:rPr>
      </w:pPr>
      <w:r w:rsidRPr="00333C4A">
        <w:rPr>
          <w:rFonts w:ascii="Century Gothic" w:hAnsi="Century Gothic" w:cstheme="minorHAnsi"/>
          <w:b/>
          <w:sz w:val="22"/>
          <w:szCs w:val="22"/>
        </w:rPr>
        <w:t xml:space="preserve">PARAGRAFO UNICO: </w:t>
      </w:r>
      <w:r w:rsidR="00333C4A" w:rsidRPr="00333C4A">
        <w:rPr>
          <w:rFonts w:ascii="Century Gothic" w:hAnsi="Century Gothic" w:cstheme="minorHAnsi"/>
          <w:sz w:val="22"/>
          <w:szCs w:val="22"/>
        </w:rPr>
        <w:t xml:space="preserve">Los recursos provenientes del balance o superávit, los dineros de gratuidad por parte la Alcaldía Municipal de Ibagué y las transferencias de gratuidad </w:t>
      </w:r>
      <w:r w:rsidR="00E92352">
        <w:rPr>
          <w:rFonts w:ascii="Century Gothic" w:hAnsi="Century Gothic" w:cstheme="minorHAnsi"/>
          <w:sz w:val="22"/>
          <w:szCs w:val="22"/>
        </w:rPr>
        <w:t>CONPES</w:t>
      </w:r>
      <w:r w:rsidR="00333C4A" w:rsidRPr="00333C4A">
        <w:rPr>
          <w:rFonts w:ascii="Century Gothic" w:hAnsi="Century Gothic" w:cstheme="minorHAnsi"/>
          <w:sz w:val="22"/>
          <w:szCs w:val="22"/>
        </w:rPr>
        <w:t>, se adicionarán o reducirán al presupuesto de ingresos, cuando se conozca el valor exacto, los actos administrativos y los recursos estén consignados en las respectivas cuentas de fondo de servicios Educativos de la Institución. De conformidad con el articulo No 2.3.1.6.3.12 del decreto 1075 de 2015, todo nuevo ingreso que se perciba y que no esté previsto en el presupuesto del Fondo de Servicios Educativos, será objeto de una adición presupuestal mediante acuerdo del consejo directivo, previa aprobación de la entidad territorial, de conformidad con el reglamento que esta expida para tal efecto. En este acuerdo se deberá especificar origen de los recursos y la distribución del nuevo ingreso en presupuesto gastos o apropiaciones. De conformidad con el artículo 2.3.1.6.3.19 del decreto 1075 de 2015, numeral 2, al inicio de cada vigencia fiscal, el rector deberá enviar a la entidad territorial certificada copia del acuerdo anual del presupuesto del Fondo, numerado, fechado y aprobado por el consejo directivo.</w:t>
      </w:r>
    </w:p>
    <w:p w14:paraId="1F9F7587" w14:textId="77777777" w:rsidR="00CA2F85" w:rsidRPr="00333C4A" w:rsidRDefault="00CA2F85" w:rsidP="00DC5154">
      <w:pPr>
        <w:jc w:val="both"/>
        <w:rPr>
          <w:rFonts w:ascii="Century Gothic" w:hAnsi="Century Gothic" w:cstheme="minorHAnsi"/>
          <w:b/>
          <w:sz w:val="22"/>
          <w:szCs w:val="22"/>
        </w:rPr>
      </w:pPr>
    </w:p>
    <w:p w14:paraId="7A205750" w14:textId="629E1F71" w:rsidR="00554924" w:rsidRPr="00333C4A" w:rsidRDefault="002F0391" w:rsidP="00DC5154">
      <w:pPr>
        <w:jc w:val="both"/>
        <w:rPr>
          <w:rFonts w:ascii="Century Gothic" w:hAnsi="Century Gothic" w:cstheme="minorHAnsi"/>
          <w:sz w:val="22"/>
          <w:szCs w:val="22"/>
        </w:rPr>
      </w:pPr>
      <w:r w:rsidRPr="00333C4A">
        <w:rPr>
          <w:rFonts w:ascii="Century Gothic" w:hAnsi="Century Gothic" w:cstheme="minorHAnsi"/>
          <w:b/>
          <w:sz w:val="22"/>
          <w:szCs w:val="22"/>
        </w:rPr>
        <w:t>ARTICULO 2°</w:t>
      </w:r>
      <w:r w:rsidRPr="00333C4A">
        <w:rPr>
          <w:rFonts w:ascii="Century Gothic" w:hAnsi="Century Gothic" w:cstheme="minorHAnsi"/>
          <w:sz w:val="22"/>
          <w:szCs w:val="22"/>
        </w:rPr>
        <w:t xml:space="preserve">: Fijar los cómputos del presupuesto de egresos </w:t>
      </w:r>
      <w:r w:rsidR="001E33DD" w:rsidRPr="00333C4A">
        <w:rPr>
          <w:rFonts w:ascii="Century Gothic" w:hAnsi="Century Gothic" w:cstheme="minorHAnsi"/>
          <w:sz w:val="22"/>
          <w:szCs w:val="22"/>
        </w:rPr>
        <w:t xml:space="preserve">de la INSTITUCIÓN EDUCATIVA RAÍCES DEL FUTURO, para la vigencia fiscal comprendida del 1º de Enero al 31 de diciembre del año 2021 en la suma de </w:t>
      </w:r>
      <w:r w:rsidR="00E92352" w:rsidRPr="00E92352">
        <w:rPr>
          <w:rFonts w:ascii="Century Gothic" w:hAnsi="Century Gothic" w:cstheme="minorHAnsi"/>
          <w:sz w:val="22"/>
          <w:szCs w:val="22"/>
        </w:rPr>
        <w:t>CIENTO ONCE MILLONES  SEISCIENTOS SESENTA Y TRES MIL DOSCIENTOS OCHO PESOS M/CTE ($ 111.663.208) MCTE</w:t>
      </w:r>
      <w:r w:rsidR="001E33DD" w:rsidRPr="00333C4A">
        <w:rPr>
          <w:rFonts w:ascii="Century Gothic" w:hAnsi="Century Gothic" w:cstheme="minorHAnsi"/>
          <w:sz w:val="22"/>
          <w:szCs w:val="22"/>
        </w:rPr>
        <w:t>, según el siguiente detalle:</w:t>
      </w:r>
    </w:p>
    <w:tbl>
      <w:tblPr>
        <w:tblW w:w="9023" w:type="dxa"/>
        <w:tblInd w:w="-5" w:type="dxa"/>
        <w:tblCellMar>
          <w:left w:w="70" w:type="dxa"/>
          <w:right w:w="70" w:type="dxa"/>
        </w:tblCellMar>
        <w:tblLook w:val="04A0" w:firstRow="1" w:lastRow="0" w:firstColumn="1" w:lastColumn="0" w:noHBand="0" w:noVBand="1"/>
      </w:tblPr>
      <w:tblGrid>
        <w:gridCol w:w="1354"/>
        <w:gridCol w:w="5727"/>
        <w:gridCol w:w="1942"/>
      </w:tblGrid>
      <w:tr w:rsidR="00E92352" w:rsidRPr="00E92352" w14:paraId="6D68A1DF" w14:textId="77777777" w:rsidTr="00E92352">
        <w:trPr>
          <w:trHeight w:val="979"/>
          <w:tblHeader/>
        </w:trPr>
        <w:tc>
          <w:tcPr>
            <w:tcW w:w="135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717D7590" w14:textId="77777777" w:rsidR="00E92352" w:rsidRPr="00E92352" w:rsidRDefault="00E92352" w:rsidP="00E92352">
            <w:pPr>
              <w:jc w:val="cente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lastRenderedPageBreak/>
              <w:t xml:space="preserve">CODIGO PRESUPUESTAL </w:t>
            </w:r>
          </w:p>
        </w:tc>
        <w:tc>
          <w:tcPr>
            <w:tcW w:w="5727" w:type="dxa"/>
            <w:tcBorders>
              <w:top w:val="single" w:sz="4" w:space="0" w:color="auto"/>
              <w:left w:val="nil"/>
              <w:bottom w:val="single" w:sz="4" w:space="0" w:color="auto"/>
              <w:right w:val="single" w:sz="4" w:space="0" w:color="auto"/>
            </w:tcBorders>
            <w:shd w:val="clear" w:color="000000" w:fill="A9D08E"/>
            <w:vAlign w:val="center"/>
            <w:hideMark/>
          </w:tcPr>
          <w:p w14:paraId="75140B8C" w14:textId="77777777" w:rsidR="00E92352" w:rsidRPr="00E92352" w:rsidRDefault="00E92352" w:rsidP="00E92352">
            <w:pPr>
              <w:jc w:val="cente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CONCEPTO </w:t>
            </w:r>
          </w:p>
        </w:tc>
        <w:tc>
          <w:tcPr>
            <w:tcW w:w="1942" w:type="dxa"/>
            <w:tcBorders>
              <w:top w:val="single" w:sz="4" w:space="0" w:color="auto"/>
              <w:left w:val="nil"/>
              <w:bottom w:val="single" w:sz="4" w:space="0" w:color="auto"/>
              <w:right w:val="single" w:sz="4" w:space="0" w:color="auto"/>
            </w:tcBorders>
            <w:shd w:val="clear" w:color="000000" w:fill="A9D08E"/>
            <w:vAlign w:val="center"/>
            <w:hideMark/>
          </w:tcPr>
          <w:p w14:paraId="1D0BEBFA" w14:textId="77777777" w:rsidR="00E92352" w:rsidRPr="00E92352" w:rsidRDefault="00E92352" w:rsidP="00E92352">
            <w:pPr>
              <w:jc w:val="cente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PRESUPUESTO INICIAL </w:t>
            </w:r>
          </w:p>
        </w:tc>
      </w:tr>
      <w:tr w:rsidR="00E92352" w:rsidRPr="00E92352" w14:paraId="4C0ABE8E"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216CFDC"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w:t>
            </w:r>
          </w:p>
        </w:tc>
        <w:tc>
          <w:tcPr>
            <w:tcW w:w="5727" w:type="dxa"/>
            <w:tcBorders>
              <w:top w:val="nil"/>
              <w:left w:val="nil"/>
              <w:bottom w:val="single" w:sz="4" w:space="0" w:color="auto"/>
              <w:right w:val="single" w:sz="4" w:space="0" w:color="auto"/>
            </w:tcBorders>
            <w:shd w:val="clear" w:color="auto" w:fill="auto"/>
            <w:vAlign w:val="center"/>
            <w:hideMark/>
          </w:tcPr>
          <w:p w14:paraId="203121D6"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GASTOS</w:t>
            </w:r>
          </w:p>
        </w:tc>
        <w:tc>
          <w:tcPr>
            <w:tcW w:w="1942" w:type="dxa"/>
            <w:tcBorders>
              <w:top w:val="nil"/>
              <w:left w:val="nil"/>
              <w:bottom w:val="single" w:sz="4" w:space="0" w:color="auto"/>
              <w:right w:val="single" w:sz="4" w:space="0" w:color="auto"/>
            </w:tcBorders>
            <w:shd w:val="clear" w:color="auto" w:fill="auto"/>
            <w:noWrap/>
            <w:vAlign w:val="center"/>
            <w:hideMark/>
          </w:tcPr>
          <w:p w14:paraId="17EBCC56"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111.663.208</w:t>
            </w:r>
          </w:p>
        </w:tc>
      </w:tr>
      <w:tr w:rsidR="00E92352" w:rsidRPr="00E92352" w14:paraId="0D3D2B5F"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33D3A15"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w:t>
            </w:r>
          </w:p>
        </w:tc>
        <w:tc>
          <w:tcPr>
            <w:tcW w:w="5727" w:type="dxa"/>
            <w:tcBorders>
              <w:top w:val="nil"/>
              <w:left w:val="nil"/>
              <w:bottom w:val="single" w:sz="4" w:space="0" w:color="auto"/>
              <w:right w:val="single" w:sz="4" w:space="0" w:color="auto"/>
            </w:tcBorders>
            <w:shd w:val="clear" w:color="auto" w:fill="auto"/>
            <w:vAlign w:val="center"/>
            <w:hideMark/>
          </w:tcPr>
          <w:p w14:paraId="6EEA1211"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FUNCIONAMIENTO </w:t>
            </w:r>
          </w:p>
        </w:tc>
        <w:tc>
          <w:tcPr>
            <w:tcW w:w="1942" w:type="dxa"/>
            <w:tcBorders>
              <w:top w:val="nil"/>
              <w:left w:val="nil"/>
              <w:bottom w:val="single" w:sz="4" w:space="0" w:color="auto"/>
              <w:right w:val="single" w:sz="4" w:space="0" w:color="auto"/>
            </w:tcBorders>
            <w:shd w:val="clear" w:color="auto" w:fill="auto"/>
            <w:noWrap/>
            <w:vAlign w:val="center"/>
            <w:hideMark/>
          </w:tcPr>
          <w:p w14:paraId="24C3F93C"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111.663.208</w:t>
            </w:r>
          </w:p>
        </w:tc>
      </w:tr>
      <w:tr w:rsidR="00E92352" w:rsidRPr="00E92352" w14:paraId="4822CCCF"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EB5944E"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2.1.1</w:t>
            </w:r>
          </w:p>
        </w:tc>
        <w:tc>
          <w:tcPr>
            <w:tcW w:w="5727" w:type="dxa"/>
            <w:tcBorders>
              <w:top w:val="nil"/>
              <w:left w:val="nil"/>
              <w:bottom w:val="single" w:sz="4" w:space="0" w:color="auto"/>
              <w:right w:val="single" w:sz="4" w:space="0" w:color="auto"/>
            </w:tcBorders>
            <w:shd w:val="clear" w:color="auto" w:fill="auto"/>
            <w:vAlign w:val="center"/>
            <w:hideMark/>
          </w:tcPr>
          <w:p w14:paraId="17076867"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SERVICIOS PERSONALES INDIRECTOS </w:t>
            </w:r>
          </w:p>
        </w:tc>
        <w:tc>
          <w:tcPr>
            <w:tcW w:w="1942" w:type="dxa"/>
            <w:tcBorders>
              <w:top w:val="nil"/>
              <w:left w:val="nil"/>
              <w:bottom w:val="single" w:sz="4" w:space="0" w:color="auto"/>
              <w:right w:val="single" w:sz="4" w:space="0" w:color="auto"/>
            </w:tcBorders>
            <w:shd w:val="clear" w:color="auto" w:fill="auto"/>
            <w:noWrap/>
            <w:vAlign w:val="center"/>
            <w:hideMark/>
          </w:tcPr>
          <w:p w14:paraId="123CF8D5"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31.547.510</w:t>
            </w:r>
          </w:p>
        </w:tc>
      </w:tr>
      <w:tr w:rsidR="00E92352" w:rsidRPr="00E92352" w14:paraId="6339F359"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A17FB56"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2.1.1.1</w:t>
            </w:r>
          </w:p>
        </w:tc>
        <w:tc>
          <w:tcPr>
            <w:tcW w:w="5727" w:type="dxa"/>
            <w:tcBorders>
              <w:top w:val="nil"/>
              <w:left w:val="nil"/>
              <w:bottom w:val="single" w:sz="4" w:space="0" w:color="auto"/>
              <w:right w:val="single" w:sz="4" w:space="0" w:color="auto"/>
            </w:tcBorders>
            <w:shd w:val="clear" w:color="auto" w:fill="auto"/>
            <w:vAlign w:val="center"/>
            <w:hideMark/>
          </w:tcPr>
          <w:p w14:paraId="0511FFCB"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REMUNERACION SERVICIOS TECNICOS </w:t>
            </w:r>
          </w:p>
        </w:tc>
        <w:tc>
          <w:tcPr>
            <w:tcW w:w="1942" w:type="dxa"/>
            <w:tcBorders>
              <w:top w:val="nil"/>
              <w:left w:val="nil"/>
              <w:bottom w:val="single" w:sz="4" w:space="0" w:color="auto"/>
              <w:right w:val="single" w:sz="4" w:space="0" w:color="auto"/>
            </w:tcBorders>
            <w:shd w:val="clear" w:color="auto" w:fill="auto"/>
            <w:noWrap/>
            <w:vAlign w:val="center"/>
            <w:hideMark/>
          </w:tcPr>
          <w:p w14:paraId="1E8EB171"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5.146.510</w:t>
            </w:r>
          </w:p>
        </w:tc>
      </w:tr>
      <w:tr w:rsidR="00E92352" w:rsidRPr="00E92352" w14:paraId="206B14BC"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139791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2.1.1.1.3</w:t>
            </w:r>
          </w:p>
        </w:tc>
        <w:tc>
          <w:tcPr>
            <w:tcW w:w="5727" w:type="dxa"/>
            <w:tcBorders>
              <w:top w:val="nil"/>
              <w:left w:val="nil"/>
              <w:bottom w:val="single" w:sz="4" w:space="0" w:color="auto"/>
              <w:right w:val="single" w:sz="4" w:space="0" w:color="auto"/>
            </w:tcBorders>
            <w:shd w:val="clear" w:color="auto" w:fill="auto"/>
            <w:vAlign w:val="center"/>
            <w:hideMark/>
          </w:tcPr>
          <w:p w14:paraId="54E8614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Remuneración Servicios Técnicos-Municipio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71E95B93"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5.146.510</w:t>
            </w:r>
          </w:p>
        </w:tc>
      </w:tr>
      <w:tr w:rsidR="00E92352" w:rsidRPr="00E92352" w14:paraId="379DB87F"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7072D5D"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2.1.1.1.2</w:t>
            </w:r>
          </w:p>
        </w:tc>
        <w:tc>
          <w:tcPr>
            <w:tcW w:w="5727" w:type="dxa"/>
            <w:tcBorders>
              <w:top w:val="nil"/>
              <w:left w:val="nil"/>
              <w:bottom w:val="single" w:sz="4" w:space="0" w:color="auto"/>
              <w:right w:val="single" w:sz="4" w:space="0" w:color="auto"/>
            </w:tcBorders>
            <w:shd w:val="clear" w:color="auto" w:fill="auto"/>
            <w:vAlign w:val="center"/>
            <w:hideMark/>
          </w:tcPr>
          <w:p w14:paraId="7964240B" w14:textId="26375FB3"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Remuneración Servicios Técnicos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11C7C358"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0907842E"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38BBBC73"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2.1.1.2</w:t>
            </w:r>
          </w:p>
        </w:tc>
        <w:tc>
          <w:tcPr>
            <w:tcW w:w="5727" w:type="dxa"/>
            <w:tcBorders>
              <w:top w:val="nil"/>
              <w:left w:val="nil"/>
              <w:bottom w:val="single" w:sz="4" w:space="0" w:color="auto"/>
              <w:right w:val="single" w:sz="4" w:space="0" w:color="auto"/>
            </w:tcBorders>
            <w:shd w:val="clear" w:color="auto" w:fill="auto"/>
            <w:vAlign w:val="center"/>
            <w:hideMark/>
          </w:tcPr>
          <w:p w14:paraId="1539593A"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HONORARIOS</w:t>
            </w:r>
          </w:p>
        </w:tc>
        <w:tc>
          <w:tcPr>
            <w:tcW w:w="1942" w:type="dxa"/>
            <w:tcBorders>
              <w:top w:val="nil"/>
              <w:left w:val="nil"/>
              <w:bottom w:val="single" w:sz="4" w:space="0" w:color="auto"/>
              <w:right w:val="single" w:sz="4" w:space="0" w:color="auto"/>
            </w:tcBorders>
            <w:shd w:val="clear" w:color="auto" w:fill="auto"/>
            <w:noWrap/>
            <w:vAlign w:val="center"/>
            <w:hideMark/>
          </w:tcPr>
          <w:p w14:paraId="5420CA8E"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26.401.000</w:t>
            </w:r>
          </w:p>
        </w:tc>
      </w:tr>
      <w:tr w:rsidR="00E92352" w:rsidRPr="00E92352" w14:paraId="23BFEDC4"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0667CF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2.1.1.2.1</w:t>
            </w:r>
          </w:p>
        </w:tc>
        <w:tc>
          <w:tcPr>
            <w:tcW w:w="5727" w:type="dxa"/>
            <w:tcBorders>
              <w:top w:val="nil"/>
              <w:left w:val="nil"/>
              <w:bottom w:val="single" w:sz="4" w:space="0" w:color="auto"/>
              <w:right w:val="single" w:sz="4" w:space="0" w:color="auto"/>
            </w:tcBorders>
            <w:shd w:val="clear" w:color="auto" w:fill="auto"/>
            <w:vAlign w:val="center"/>
            <w:hideMark/>
          </w:tcPr>
          <w:p w14:paraId="76D5595C"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Honorarios-Propios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71D216C1"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461C3501"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1511313A"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2.1.1.2.2</w:t>
            </w:r>
          </w:p>
        </w:tc>
        <w:tc>
          <w:tcPr>
            <w:tcW w:w="5727" w:type="dxa"/>
            <w:tcBorders>
              <w:top w:val="nil"/>
              <w:left w:val="nil"/>
              <w:bottom w:val="single" w:sz="4" w:space="0" w:color="auto"/>
              <w:right w:val="single" w:sz="4" w:space="0" w:color="auto"/>
            </w:tcBorders>
            <w:shd w:val="clear" w:color="auto" w:fill="auto"/>
            <w:vAlign w:val="center"/>
            <w:hideMark/>
          </w:tcPr>
          <w:p w14:paraId="4F9A3A50" w14:textId="1F96CB01"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Honorarios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6ABBEA66"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26.400.000</w:t>
            </w:r>
          </w:p>
        </w:tc>
      </w:tr>
      <w:tr w:rsidR="00E92352" w:rsidRPr="00E92352" w14:paraId="485B70FD"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32A3B0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2.1.1.2.5</w:t>
            </w:r>
          </w:p>
        </w:tc>
        <w:tc>
          <w:tcPr>
            <w:tcW w:w="5727" w:type="dxa"/>
            <w:tcBorders>
              <w:top w:val="nil"/>
              <w:left w:val="nil"/>
              <w:bottom w:val="single" w:sz="4" w:space="0" w:color="auto"/>
              <w:right w:val="single" w:sz="4" w:space="0" w:color="auto"/>
            </w:tcBorders>
            <w:shd w:val="clear" w:color="auto" w:fill="auto"/>
            <w:vAlign w:val="center"/>
            <w:hideMark/>
          </w:tcPr>
          <w:p w14:paraId="4628842B" w14:textId="6F88884C"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 xml:space="preserve">Honorarios -RB.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1B6337AC"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1.000</w:t>
            </w:r>
          </w:p>
        </w:tc>
      </w:tr>
      <w:tr w:rsidR="00E92352" w:rsidRPr="00E92352" w14:paraId="49812EFA"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70A79E4"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w:t>
            </w:r>
          </w:p>
        </w:tc>
        <w:tc>
          <w:tcPr>
            <w:tcW w:w="5727" w:type="dxa"/>
            <w:tcBorders>
              <w:top w:val="nil"/>
              <w:left w:val="nil"/>
              <w:bottom w:val="single" w:sz="4" w:space="0" w:color="auto"/>
              <w:right w:val="single" w:sz="4" w:space="0" w:color="auto"/>
            </w:tcBorders>
            <w:shd w:val="clear" w:color="auto" w:fill="auto"/>
            <w:vAlign w:val="center"/>
            <w:hideMark/>
          </w:tcPr>
          <w:p w14:paraId="67F313D1"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GASTOS GENERALES </w:t>
            </w:r>
          </w:p>
        </w:tc>
        <w:tc>
          <w:tcPr>
            <w:tcW w:w="1942" w:type="dxa"/>
            <w:tcBorders>
              <w:top w:val="nil"/>
              <w:left w:val="nil"/>
              <w:bottom w:val="single" w:sz="4" w:space="0" w:color="auto"/>
              <w:right w:val="single" w:sz="4" w:space="0" w:color="auto"/>
            </w:tcBorders>
            <w:shd w:val="clear" w:color="auto" w:fill="auto"/>
            <w:noWrap/>
            <w:vAlign w:val="center"/>
            <w:hideMark/>
          </w:tcPr>
          <w:p w14:paraId="734C19A8"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80.115.698</w:t>
            </w:r>
          </w:p>
        </w:tc>
      </w:tr>
      <w:tr w:rsidR="00E92352" w:rsidRPr="00E92352" w14:paraId="0927B000"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BF40ADA"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2.1.2.1</w:t>
            </w:r>
          </w:p>
        </w:tc>
        <w:tc>
          <w:tcPr>
            <w:tcW w:w="5727" w:type="dxa"/>
            <w:tcBorders>
              <w:top w:val="nil"/>
              <w:left w:val="nil"/>
              <w:bottom w:val="single" w:sz="4" w:space="0" w:color="auto"/>
              <w:right w:val="single" w:sz="4" w:space="0" w:color="auto"/>
            </w:tcBorders>
            <w:shd w:val="clear" w:color="auto" w:fill="auto"/>
            <w:vAlign w:val="center"/>
            <w:hideMark/>
          </w:tcPr>
          <w:p w14:paraId="5C514BD3"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ADQUISICIÓN DE BIENES </w:t>
            </w:r>
          </w:p>
        </w:tc>
        <w:tc>
          <w:tcPr>
            <w:tcW w:w="1942" w:type="dxa"/>
            <w:tcBorders>
              <w:top w:val="nil"/>
              <w:left w:val="nil"/>
              <w:bottom w:val="single" w:sz="4" w:space="0" w:color="auto"/>
              <w:right w:val="single" w:sz="4" w:space="0" w:color="auto"/>
            </w:tcBorders>
            <w:shd w:val="clear" w:color="auto" w:fill="auto"/>
            <w:noWrap/>
            <w:vAlign w:val="center"/>
            <w:hideMark/>
          </w:tcPr>
          <w:p w14:paraId="35D6B698"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34.000.000</w:t>
            </w:r>
          </w:p>
        </w:tc>
      </w:tr>
      <w:tr w:rsidR="00E92352" w:rsidRPr="00E92352" w14:paraId="34BD39C7"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297AE1D"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2.1.2.1.1</w:t>
            </w:r>
          </w:p>
        </w:tc>
        <w:tc>
          <w:tcPr>
            <w:tcW w:w="5727" w:type="dxa"/>
            <w:tcBorders>
              <w:top w:val="nil"/>
              <w:left w:val="nil"/>
              <w:bottom w:val="single" w:sz="4" w:space="0" w:color="auto"/>
              <w:right w:val="single" w:sz="4" w:space="0" w:color="auto"/>
            </w:tcBorders>
            <w:shd w:val="clear" w:color="auto" w:fill="auto"/>
            <w:vAlign w:val="center"/>
            <w:hideMark/>
          </w:tcPr>
          <w:p w14:paraId="1FFF7EA1"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COMPRA DE EQUIPO Y MOBILIARIO</w:t>
            </w:r>
          </w:p>
        </w:tc>
        <w:tc>
          <w:tcPr>
            <w:tcW w:w="1942" w:type="dxa"/>
            <w:tcBorders>
              <w:top w:val="nil"/>
              <w:left w:val="nil"/>
              <w:bottom w:val="single" w:sz="4" w:space="0" w:color="auto"/>
              <w:right w:val="single" w:sz="4" w:space="0" w:color="auto"/>
            </w:tcBorders>
            <w:shd w:val="clear" w:color="auto" w:fill="auto"/>
            <w:noWrap/>
            <w:vAlign w:val="center"/>
            <w:hideMark/>
          </w:tcPr>
          <w:p w14:paraId="27A9B624"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12.000.000</w:t>
            </w:r>
          </w:p>
        </w:tc>
      </w:tr>
      <w:tr w:rsidR="00E92352" w:rsidRPr="00E92352" w14:paraId="55852791"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A5E51B2"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2.1.2.1.1.3</w:t>
            </w:r>
          </w:p>
        </w:tc>
        <w:tc>
          <w:tcPr>
            <w:tcW w:w="5727" w:type="dxa"/>
            <w:tcBorders>
              <w:top w:val="nil"/>
              <w:left w:val="nil"/>
              <w:bottom w:val="single" w:sz="4" w:space="0" w:color="auto"/>
              <w:right w:val="single" w:sz="4" w:space="0" w:color="auto"/>
            </w:tcBorders>
            <w:shd w:val="clear" w:color="auto" w:fill="auto"/>
            <w:vAlign w:val="center"/>
            <w:hideMark/>
          </w:tcPr>
          <w:p w14:paraId="6F7101A9"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Compra De Equipo Y Mobiliario-Municipio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5D59B517"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12.000.000</w:t>
            </w:r>
          </w:p>
        </w:tc>
      </w:tr>
      <w:tr w:rsidR="00E92352" w:rsidRPr="00E92352" w14:paraId="06AE3447"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04BDB50"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2.1.2.1.1.2</w:t>
            </w:r>
          </w:p>
        </w:tc>
        <w:tc>
          <w:tcPr>
            <w:tcW w:w="5727" w:type="dxa"/>
            <w:tcBorders>
              <w:top w:val="nil"/>
              <w:left w:val="nil"/>
              <w:bottom w:val="single" w:sz="4" w:space="0" w:color="auto"/>
              <w:right w:val="single" w:sz="4" w:space="0" w:color="auto"/>
            </w:tcBorders>
            <w:shd w:val="clear" w:color="auto" w:fill="auto"/>
            <w:vAlign w:val="center"/>
            <w:hideMark/>
          </w:tcPr>
          <w:p w14:paraId="29296CA6" w14:textId="2189562E"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Compra De Equipo Y Mobiliario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3539D507"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665E7C9C"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4184D40"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2.1.2.1.2</w:t>
            </w:r>
          </w:p>
        </w:tc>
        <w:tc>
          <w:tcPr>
            <w:tcW w:w="5727" w:type="dxa"/>
            <w:tcBorders>
              <w:top w:val="nil"/>
              <w:left w:val="nil"/>
              <w:bottom w:val="single" w:sz="4" w:space="0" w:color="auto"/>
              <w:right w:val="single" w:sz="4" w:space="0" w:color="auto"/>
            </w:tcBorders>
            <w:shd w:val="clear" w:color="auto" w:fill="auto"/>
            <w:vAlign w:val="center"/>
            <w:hideMark/>
          </w:tcPr>
          <w:p w14:paraId="135878B4"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MATERIALES Y SUMINISTROS </w:t>
            </w:r>
          </w:p>
        </w:tc>
        <w:tc>
          <w:tcPr>
            <w:tcW w:w="1942" w:type="dxa"/>
            <w:tcBorders>
              <w:top w:val="nil"/>
              <w:left w:val="nil"/>
              <w:bottom w:val="single" w:sz="4" w:space="0" w:color="auto"/>
              <w:right w:val="single" w:sz="4" w:space="0" w:color="auto"/>
            </w:tcBorders>
            <w:shd w:val="clear" w:color="auto" w:fill="auto"/>
            <w:noWrap/>
            <w:vAlign w:val="center"/>
            <w:hideMark/>
          </w:tcPr>
          <w:p w14:paraId="441B4CCF"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15.000.000</w:t>
            </w:r>
          </w:p>
        </w:tc>
      </w:tr>
      <w:tr w:rsidR="00E92352" w:rsidRPr="00E92352" w14:paraId="1869729D"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1DF5D97"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2.1.2.1.2.3</w:t>
            </w:r>
          </w:p>
        </w:tc>
        <w:tc>
          <w:tcPr>
            <w:tcW w:w="5727" w:type="dxa"/>
            <w:tcBorders>
              <w:top w:val="nil"/>
              <w:left w:val="nil"/>
              <w:bottom w:val="single" w:sz="4" w:space="0" w:color="auto"/>
              <w:right w:val="single" w:sz="4" w:space="0" w:color="auto"/>
            </w:tcBorders>
            <w:shd w:val="clear" w:color="auto" w:fill="auto"/>
            <w:vAlign w:val="center"/>
            <w:hideMark/>
          </w:tcPr>
          <w:p w14:paraId="0116396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Materiales y Suministros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4CA6070E"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7BFB5EA3"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205EBDC4"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2.1.2.1.2.2</w:t>
            </w:r>
          </w:p>
        </w:tc>
        <w:tc>
          <w:tcPr>
            <w:tcW w:w="5727" w:type="dxa"/>
            <w:tcBorders>
              <w:top w:val="nil"/>
              <w:left w:val="nil"/>
              <w:bottom w:val="single" w:sz="4" w:space="0" w:color="auto"/>
              <w:right w:val="single" w:sz="4" w:space="0" w:color="auto"/>
            </w:tcBorders>
            <w:shd w:val="clear" w:color="auto" w:fill="auto"/>
            <w:vAlign w:val="center"/>
            <w:hideMark/>
          </w:tcPr>
          <w:p w14:paraId="6DA2BBAD" w14:textId="3F6AA636"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Materiales y Suministros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1706D3E3"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15.000.000</w:t>
            </w:r>
          </w:p>
        </w:tc>
      </w:tr>
      <w:tr w:rsidR="00E92352" w:rsidRPr="00E92352" w14:paraId="2C6C1EA1"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56A95BD"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2.1.2.1.3</w:t>
            </w:r>
          </w:p>
        </w:tc>
        <w:tc>
          <w:tcPr>
            <w:tcW w:w="5727" w:type="dxa"/>
            <w:tcBorders>
              <w:top w:val="nil"/>
              <w:left w:val="nil"/>
              <w:bottom w:val="single" w:sz="4" w:space="0" w:color="auto"/>
              <w:right w:val="single" w:sz="4" w:space="0" w:color="auto"/>
            </w:tcBorders>
            <w:shd w:val="clear" w:color="auto" w:fill="auto"/>
            <w:vAlign w:val="center"/>
            <w:hideMark/>
          </w:tcPr>
          <w:p w14:paraId="14FF5DB0"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IMPRESOS Y PUBLICACIONES </w:t>
            </w:r>
          </w:p>
        </w:tc>
        <w:tc>
          <w:tcPr>
            <w:tcW w:w="1942" w:type="dxa"/>
            <w:tcBorders>
              <w:top w:val="nil"/>
              <w:left w:val="nil"/>
              <w:bottom w:val="single" w:sz="4" w:space="0" w:color="auto"/>
              <w:right w:val="single" w:sz="4" w:space="0" w:color="auto"/>
            </w:tcBorders>
            <w:shd w:val="clear" w:color="auto" w:fill="auto"/>
            <w:noWrap/>
            <w:vAlign w:val="center"/>
            <w:hideMark/>
          </w:tcPr>
          <w:p w14:paraId="23B9DD50"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7.000.000</w:t>
            </w:r>
          </w:p>
        </w:tc>
      </w:tr>
      <w:tr w:rsidR="00E92352" w:rsidRPr="00E92352" w14:paraId="0D21FE05"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ADFD4CA"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2.1.2.1.3.3</w:t>
            </w:r>
          </w:p>
        </w:tc>
        <w:tc>
          <w:tcPr>
            <w:tcW w:w="5727" w:type="dxa"/>
            <w:tcBorders>
              <w:top w:val="nil"/>
              <w:left w:val="nil"/>
              <w:bottom w:val="single" w:sz="4" w:space="0" w:color="auto"/>
              <w:right w:val="single" w:sz="4" w:space="0" w:color="auto"/>
            </w:tcBorders>
            <w:shd w:val="clear" w:color="auto" w:fill="auto"/>
            <w:vAlign w:val="center"/>
            <w:hideMark/>
          </w:tcPr>
          <w:p w14:paraId="07F31C1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Impresos y Publicaciones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1489FFAB"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7.000.000</w:t>
            </w:r>
          </w:p>
        </w:tc>
      </w:tr>
      <w:tr w:rsidR="00E92352" w:rsidRPr="00E92352" w14:paraId="0B197A24"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C1AB073"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2.1.2.1.3.2</w:t>
            </w:r>
          </w:p>
        </w:tc>
        <w:tc>
          <w:tcPr>
            <w:tcW w:w="5727" w:type="dxa"/>
            <w:tcBorders>
              <w:top w:val="nil"/>
              <w:left w:val="nil"/>
              <w:bottom w:val="single" w:sz="4" w:space="0" w:color="auto"/>
              <w:right w:val="single" w:sz="4" w:space="0" w:color="auto"/>
            </w:tcBorders>
            <w:shd w:val="clear" w:color="auto" w:fill="auto"/>
            <w:vAlign w:val="center"/>
            <w:hideMark/>
          </w:tcPr>
          <w:p w14:paraId="56F0132D" w14:textId="6CBF14B6"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Impresos y Publicaciones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531C98A9"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0695D0A3"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B6F7C62"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w:t>
            </w:r>
          </w:p>
        </w:tc>
        <w:tc>
          <w:tcPr>
            <w:tcW w:w="5727" w:type="dxa"/>
            <w:tcBorders>
              <w:top w:val="nil"/>
              <w:left w:val="nil"/>
              <w:bottom w:val="single" w:sz="4" w:space="0" w:color="auto"/>
              <w:right w:val="single" w:sz="4" w:space="0" w:color="auto"/>
            </w:tcBorders>
            <w:shd w:val="clear" w:color="auto" w:fill="auto"/>
            <w:vAlign w:val="center"/>
            <w:hideMark/>
          </w:tcPr>
          <w:p w14:paraId="2F03BC7B"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ADQUISICIÓN DE SERVICIOS </w:t>
            </w:r>
          </w:p>
        </w:tc>
        <w:tc>
          <w:tcPr>
            <w:tcW w:w="1942" w:type="dxa"/>
            <w:tcBorders>
              <w:top w:val="nil"/>
              <w:left w:val="nil"/>
              <w:bottom w:val="single" w:sz="4" w:space="0" w:color="auto"/>
              <w:right w:val="single" w:sz="4" w:space="0" w:color="auto"/>
            </w:tcBorders>
            <w:shd w:val="clear" w:color="auto" w:fill="auto"/>
            <w:noWrap/>
            <w:vAlign w:val="center"/>
            <w:hideMark/>
          </w:tcPr>
          <w:p w14:paraId="3D627E58"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46.115.698</w:t>
            </w:r>
          </w:p>
        </w:tc>
      </w:tr>
      <w:tr w:rsidR="00E92352" w:rsidRPr="00E92352" w14:paraId="598880D4"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3C71A873"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2.1.2.2.1</w:t>
            </w:r>
          </w:p>
        </w:tc>
        <w:tc>
          <w:tcPr>
            <w:tcW w:w="5727" w:type="dxa"/>
            <w:tcBorders>
              <w:top w:val="nil"/>
              <w:left w:val="nil"/>
              <w:bottom w:val="single" w:sz="4" w:space="0" w:color="auto"/>
              <w:right w:val="single" w:sz="4" w:space="0" w:color="auto"/>
            </w:tcBorders>
            <w:shd w:val="clear" w:color="auto" w:fill="auto"/>
            <w:vAlign w:val="center"/>
            <w:hideMark/>
          </w:tcPr>
          <w:p w14:paraId="6F581632"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SEGUROS </w:t>
            </w:r>
          </w:p>
        </w:tc>
        <w:tc>
          <w:tcPr>
            <w:tcW w:w="1942" w:type="dxa"/>
            <w:tcBorders>
              <w:top w:val="nil"/>
              <w:left w:val="nil"/>
              <w:bottom w:val="single" w:sz="4" w:space="0" w:color="auto"/>
              <w:right w:val="single" w:sz="4" w:space="0" w:color="auto"/>
            </w:tcBorders>
            <w:shd w:val="clear" w:color="auto" w:fill="auto"/>
            <w:noWrap/>
            <w:vAlign w:val="center"/>
            <w:hideMark/>
          </w:tcPr>
          <w:p w14:paraId="215874E0"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5.000.000</w:t>
            </w:r>
          </w:p>
        </w:tc>
      </w:tr>
      <w:tr w:rsidR="00E92352" w:rsidRPr="00E92352" w14:paraId="5C2ED4C0"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4C31B7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2.1.2.2.1.2</w:t>
            </w:r>
          </w:p>
        </w:tc>
        <w:tc>
          <w:tcPr>
            <w:tcW w:w="5727" w:type="dxa"/>
            <w:tcBorders>
              <w:top w:val="nil"/>
              <w:left w:val="nil"/>
              <w:bottom w:val="single" w:sz="4" w:space="0" w:color="auto"/>
              <w:right w:val="single" w:sz="4" w:space="0" w:color="auto"/>
            </w:tcBorders>
            <w:shd w:val="clear" w:color="auto" w:fill="auto"/>
            <w:vAlign w:val="center"/>
            <w:hideMark/>
          </w:tcPr>
          <w:p w14:paraId="2C022F0D" w14:textId="5042DC0E"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Seguros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6AD3D8BE"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5.000.000</w:t>
            </w:r>
          </w:p>
        </w:tc>
      </w:tr>
      <w:tr w:rsidR="00E92352" w:rsidRPr="00E92352" w14:paraId="26823509"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BA4C0F7"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2.1.2.2.2</w:t>
            </w:r>
          </w:p>
        </w:tc>
        <w:tc>
          <w:tcPr>
            <w:tcW w:w="5727" w:type="dxa"/>
            <w:tcBorders>
              <w:top w:val="nil"/>
              <w:left w:val="nil"/>
              <w:bottom w:val="single" w:sz="4" w:space="0" w:color="auto"/>
              <w:right w:val="single" w:sz="4" w:space="0" w:color="auto"/>
            </w:tcBorders>
            <w:shd w:val="clear" w:color="auto" w:fill="auto"/>
            <w:vAlign w:val="center"/>
            <w:hideMark/>
          </w:tcPr>
          <w:p w14:paraId="4A8B76D5"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ARRENDAMIENTO DE BIENES MUEBLES E INMUEBLES </w:t>
            </w:r>
          </w:p>
        </w:tc>
        <w:tc>
          <w:tcPr>
            <w:tcW w:w="1942" w:type="dxa"/>
            <w:tcBorders>
              <w:top w:val="nil"/>
              <w:left w:val="nil"/>
              <w:bottom w:val="single" w:sz="4" w:space="0" w:color="auto"/>
              <w:right w:val="single" w:sz="4" w:space="0" w:color="auto"/>
            </w:tcBorders>
            <w:shd w:val="clear" w:color="auto" w:fill="auto"/>
            <w:noWrap/>
            <w:vAlign w:val="center"/>
            <w:hideMark/>
          </w:tcPr>
          <w:p w14:paraId="635A9E92"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0</w:t>
            </w:r>
          </w:p>
        </w:tc>
      </w:tr>
      <w:tr w:rsidR="00E92352" w:rsidRPr="00E92352" w14:paraId="0773BB78"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C39669E"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2.1.2.2.2.1</w:t>
            </w:r>
          </w:p>
        </w:tc>
        <w:tc>
          <w:tcPr>
            <w:tcW w:w="5727" w:type="dxa"/>
            <w:tcBorders>
              <w:top w:val="nil"/>
              <w:left w:val="nil"/>
              <w:bottom w:val="single" w:sz="4" w:space="0" w:color="auto"/>
              <w:right w:val="single" w:sz="4" w:space="0" w:color="auto"/>
            </w:tcBorders>
            <w:shd w:val="clear" w:color="auto" w:fill="auto"/>
            <w:vAlign w:val="center"/>
            <w:hideMark/>
          </w:tcPr>
          <w:p w14:paraId="7122BF1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Arrendamiento De Bienes Muebles E Inmuebles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5D0AEEB0"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4FE5FE99"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DEBA2C9"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2.1.2.2.3</w:t>
            </w:r>
          </w:p>
        </w:tc>
        <w:tc>
          <w:tcPr>
            <w:tcW w:w="5727" w:type="dxa"/>
            <w:tcBorders>
              <w:top w:val="nil"/>
              <w:left w:val="nil"/>
              <w:bottom w:val="single" w:sz="4" w:space="0" w:color="auto"/>
              <w:right w:val="single" w:sz="4" w:space="0" w:color="auto"/>
            </w:tcBorders>
            <w:shd w:val="clear" w:color="auto" w:fill="auto"/>
            <w:vAlign w:val="center"/>
            <w:hideMark/>
          </w:tcPr>
          <w:p w14:paraId="53D10210"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GASTOS DE VIAJE </w:t>
            </w:r>
          </w:p>
        </w:tc>
        <w:tc>
          <w:tcPr>
            <w:tcW w:w="1942" w:type="dxa"/>
            <w:tcBorders>
              <w:top w:val="nil"/>
              <w:left w:val="nil"/>
              <w:bottom w:val="single" w:sz="4" w:space="0" w:color="auto"/>
              <w:right w:val="single" w:sz="4" w:space="0" w:color="auto"/>
            </w:tcBorders>
            <w:shd w:val="clear" w:color="auto" w:fill="auto"/>
            <w:noWrap/>
            <w:vAlign w:val="center"/>
            <w:hideMark/>
          </w:tcPr>
          <w:p w14:paraId="14490232"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0</w:t>
            </w:r>
          </w:p>
        </w:tc>
      </w:tr>
      <w:tr w:rsidR="00E92352" w:rsidRPr="00E92352" w14:paraId="104D83F3"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5650388"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2.1.2.2.3.1</w:t>
            </w:r>
          </w:p>
        </w:tc>
        <w:tc>
          <w:tcPr>
            <w:tcW w:w="5727" w:type="dxa"/>
            <w:tcBorders>
              <w:top w:val="nil"/>
              <w:left w:val="nil"/>
              <w:bottom w:val="single" w:sz="4" w:space="0" w:color="auto"/>
              <w:right w:val="single" w:sz="4" w:space="0" w:color="auto"/>
            </w:tcBorders>
            <w:shd w:val="clear" w:color="auto" w:fill="auto"/>
            <w:vAlign w:val="center"/>
            <w:hideMark/>
          </w:tcPr>
          <w:p w14:paraId="4F454AFA"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Gastos De Viaje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305A391B"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0849716B"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8CBAB2A"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2.1.2.2.4</w:t>
            </w:r>
          </w:p>
        </w:tc>
        <w:tc>
          <w:tcPr>
            <w:tcW w:w="5727" w:type="dxa"/>
            <w:tcBorders>
              <w:top w:val="nil"/>
              <w:left w:val="nil"/>
              <w:bottom w:val="single" w:sz="4" w:space="0" w:color="auto"/>
              <w:right w:val="single" w:sz="4" w:space="0" w:color="auto"/>
            </w:tcBorders>
            <w:shd w:val="clear" w:color="auto" w:fill="auto"/>
            <w:vAlign w:val="center"/>
            <w:hideMark/>
          </w:tcPr>
          <w:p w14:paraId="08723258"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COMUNICACIONES Y TRANSPORTE </w:t>
            </w:r>
          </w:p>
        </w:tc>
        <w:tc>
          <w:tcPr>
            <w:tcW w:w="1942" w:type="dxa"/>
            <w:tcBorders>
              <w:top w:val="nil"/>
              <w:left w:val="nil"/>
              <w:bottom w:val="single" w:sz="4" w:space="0" w:color="auto"/>
              <w:right w:val="single" w:sz="4" w:space="0" w:color="auto"/>
            </w:tcBorders>
            <w:shd w:val="clear" w:color="auto" w:fill="auto"/>
            <w:noWrap/>
            <w:vAlign w:val="center"/>
            <w:hideMark/>
          </w:tcPr>
          <w:p w14:paraId="20020368"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0</w:t>
            </w:r>
          </w:p>
        </w:tc>
      </w:tr>
      <w:tr w:rsidR="00E92352" w:rsidRPr="00E92352" w14:paraId="31171A15"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490D809"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2.1.2.2.4.1</w:t>
            </w:r>
          </w:p>
        </w:tc>
        <w:tc>
          <w:tcPr>
            <w:tcW w:w="5727" w:type="dxa"/>
            <w:tcBorders>
              <w:top w:val="nil"/>
              <w:left w:val="nil"/>
              <w:bottom w:val="single" w:sz="4" w:space="0" w:color="auto"/>
              <w:right w:val="single" w:sz="4" w:space="0" w:color="auto"/>
            </w:tcBorders>
            <w:shd w:val="clear" w:color="auto" w:fill="auto"/>
            <w:vAlign w:val="center"/>
            <w:hideMark/>
          </w:tcPr>
          <w:p w14:paraId="43BC93A8"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Comunicaciones Y Transporte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34796B53"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4D738DA2"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E5063AE"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lastRenderedPageBreak/>
              <w:t>2.1.2.2.5</w:t>
            </w:r>
          </w:p>
        </w:tc>
        <w:tc>
          <w:tcPr>
            <w:tcW w:w="5727" w:type="dxa"/>
            <w:tcBorders>
              <w:top w:val="nil"/>
              <w:left w:val="nil"/>
              <w:bottom w:val="single" w:sz="4" w:space="0" w:color="auto"/>
              <w:right w:val="single" w:sz="4" w:space="0" w:color="auto"/>
            </w:tcBorders>
            <w:shd w:val="clear" w:color="auto" w:fill="auto"/>
            <w:vAlign w:val="center"/>
            <w:hideMark/>
          </w:tcPr>
          <w:p w14:paraId="4D0CF210"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ACTIVIDADES PEDAGOGICAS</w:t>
            </w:r>
          </w:p>
        </w:tc>
        <w:tc>
          <w:tcPr>
            <w:tcW w:w="1942" w:type="dxa"/>
            <w:tcBorders>
              <w:top w:val="nil"/>
              <w:left w:val="nil"/>
              <w:bottom w:val="single" w:sz="4" w:space="0" w:color="auto"/>
              <w:right w:val="single" w:sz="4" w:space="0" w:color="auto"/>
            </w:tcBorders>
            <w:shd w:val="clear" w:color="auto" w:fill="auto"/>
            <w:noWrap/>
            <w:vAlign w:val="center"/>
            <w:hideMark/>
          </w:tcPr>
          <w:p w14:paraId="04AF2037"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1.000.000</w:t>
            </w:r>
          </w:p>
        </w:tc>
      </w:tr>
      <w:tr w:rsidR="00E92352" w:rsidRPr="00E92352" w14:paraId="6A493A65"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50D6DC5"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2.1.2.2.5.1</w:t>
            </w:r>
          </w:p>
        </w:tc>
        <w:tc>
          <w:tcPr>
            <w:tcW w:w="5727" w:type="dxa"/>
            <w:tcBorders>
              <w:top w:val="nil"/>
              <w:left w:val="nil"/>
              <w:bottom w:val="single" w:sz="4" w:space="0" w:color="auto"/>
              <w:right w:val="single" w:sz="4" w:space="0" w:color="auto"/>
            </w:tcBorders>
            <w:shd w:val="clear" w:color="auto" w:fill="auto"/>
            <w:vAlign w:val="center"/>
            <w:hideMark/>
          </w:tcPr>
          <w:p w14:paraId="4F390A50"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Actividades Pedagógicas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5A4D808B"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1.000.000</w:t>
            </w:r>
          </w:p>
        </w:tc>
      </w:tr>
      <w:tr w:rsidR="00E92352" w:rsidRPr="00E92352" w14:paraId="089F2F65"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16523618"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2.1.2.2.6</w:t>
            </w:r>
          </w:p>
        </w:tc>
        <w:tc>
          <w:tcPr>
            <w:tcW w:w="5727" w:type="dxa"/>
            <w:tcBorders>
              <w:top w:val="nil"/>
              <w:left w:val="nil"/>
              <w:bottom w:val="single" w:sz="4" w:space="0" w:color="auto"/>
              <w:right w:val="single" w:sz="4" w:space="0" w:color="auto"/>
            </w:tcBorders>
            <w:shd w:val="clear" w:color="auto" w:fill="auto"/>
            <w:vAlign w:val="center"/>
            <w:hideMark/>
          </w:tcPr>
          <w:p w14:paraId="6AF204CB"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SERVICIOS PUBLICOS </w:t>
            </w:r>
          </w:p>
        </w:tc>
        <w:tc>
          <w:tcPr>
            <w:tcW w:w="1942" w:type="dxa"/>
            <w:tcBorders>
              <w:top w:val="nil"/>
              <w:left w:val="nil"/>
              <w:bottom w:val="single" w:sz="4" w:space="0" w:color="auto"/>
              <w:right w:val="single" w:sz="4" w:space="0" w:color="auto"/>
            </w:tcBorders>
            <w:shd w:val="clear" w:color="auto" w:fill="auto"/>
            <w:noWrap/>
            <w:vAlign w:val="center"/>
            <w:hideMark/>
          </w:tcPr>
          <w:p w14:paraId="61AEC3EC"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7.317.698</w:t>
            </w:r>
          </w:p>
        </w:tc>
      </w:tr>
      <w:tr w:rsidR="00E92352" w:rsidRPr="00E92352" w14:paraId="641CD57A"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DE9F66E"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2.1.2.2.6.1</w:t>
            </w:r>
          </w:p>
        </w:tc>
        <w:tc>
          <w:tcPr>
            <w:tcW w:w="5727" w:type="dxa"/>
            <w:tcBorders>
              <w:top w:val="nil"/>
              <w:left w:val="nil"/>
              <w:bottom w:val="single" w:sz="4" w:space="0" w:color="auto"/>
              <w:right w:val="single" w:sz="4" w:space="0" w:color="auto"/>
            </w:tcBorders>
            <w:shd w:val="clear" w:color="auto" w:fill="auto"/>
            <w:vAlign w:val="center"/>
            <w:hideMark/>
          </w:tcPr>
          <w:p w14:paraId="739FB166"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Teléfono, Internet y otros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50659548"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3.000.000</w:t>
            </w:r>
          </w:p>
        </w:tc>
      </w:tr>
      <w:tr w:rsidR="00E92352" w:rsidRPr="00E92352" w14:paraId="28ACD110"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1369FD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2.1.2.2.6.2</w:t>
            </w:r>
          </w:p>
        </w:tc>
        <w:tc>
          <w:tcPr>
            <w:tcW w:w="5727" w:type="dxa"/>
            <w:tcBorders>
              <w:top w:val="nil"/>
              <w:left w:val="nil"/>
              <w:bottom w:val="single" w:sz="4" w:space="0" w:color="auto"/>
              <w:right w:val="single" w:sz="4" w:space="0" w:color="auto"/>
            </w:tcBorders>
            <w:shd w:val="clear" w:color="auto" w:fill="auto"/>
            <w:vAlign w:val="center"/>
            <w:hideMark/>
          </w:tcPr>
          <w:p w14:paraId="679F7C08" w14:textId="2F77591D"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Teléfono, Internet y otros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6C663930"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4.317.698</w:t>
            </w:r>
          </w:p>
        </w:tc>
      </w:tr>
      <w:tr w:rsidR="00E92352" w:rsidRPr="00E92352" w14:paraId="7B229C84"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8DD1893"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2.1.2.2.7</w:t>
            </w:r>
          </w:p>
        </w:tc>
        <w:tc>
          <w:tcPr>
            <w:tcW w:w="5727" w:type="dxa"/>
            <w:tcBorders>
              <w:top w:val="nil"/>
              <w:left w:val="nil"/>
              <w:bottom w:val="single" w:sz="4" w:space="0" w:color="auto"/>
              <w:right w:val="single" w:sz="4" w:space="0" w:color="auto"/>
            </w:tcBorders>
            <w:shd w:val="clear" w:color="auto" w:fill="auto"/>
            <w:vAlign w:val="center"/>
            <w:hideMark/>
          </w:tcPr>
          <w:p w14:paraId="25047700"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ALIMENTACIÓN PARA JORNADA EXTENDIDA </w:t>
            </w:r>
          </w:p>
        </w:tc>
        <w:tc>
          <w:tcPr>
            <w:tcW w:w="1942" w:type="dxa"/>
            <w:tcBorders>
              <w:top w:val="nil"/>
              <w:left w:val="nil"/>
              <w:bottom w:val="single" w:sz="4" w:space="0" w:color="auto"/>
              <w:right w:val="single" w:sz="4" w:space="0" w:color="auto"/>
            </w:tcBorders>
            <w:shd w:val="clear" w:color="auto" w:fill="auto"/>
            <w:noWrap/>
            <w:vAlign w:val="center"/>
            <w:hideMark/>
          </w:tcPr>
          <w:p w14:paraId="37560C4C"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0</w:t>
            </w:r>
          </w:p>
        </w:tc>
      </w:tr>
      <w:tr w:rsidR="00E92352" w:rsidRPr="00E92352" w14:paraId="413CA28D"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9DB7D25"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2.1.2.2.7.1</w:t>
            </w:r>
          </w:p>
        </w:tc>
        <w:tc>
          <w:tcPr>
            <w:tcW w:w="5727" w:type="dxa"/>
            <w:tcBorders>
              <w:top w:val="nil"/>
              <w:left w:val="nil"/>
              <w:bottom w:val="single" w:sz="4" w:space="0" w:color="auto"/>
              <w:right w:val="single" w:sz="4" w:space="0" w:color="auto"/>
            </w:tcBorders>
            <w:shd w:val="clear" w:color="auto" w:fill="auto"/>
            <w:vAlign w:val="center"/>
            <w:hideMark/>
          </w:tcPr>
          <w:p w14:paraId="745CE4C2"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Alimentación Para Jornada Extendida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2AC0CB1B"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073DF5E5"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4E34C999"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2.1.2.2.8</w:t>
            </w:r>
          </w:p>
        </w:tc>
        <w:tc>
          <w:tcPr>
            <w:tcW w:w="5727" w:type="dxa"/>
            <w:tcBorders>
              <w:top w:val="nil"/>
              <w:left w:val="nil"/>
              <w:bottom w:val="single" w:sz="4" w:space="0" w:color="auto"/>
              <w:right w:val="single" w:sz="4" w:space="0" w:color="auto"/>
            </w:tcBorders>
            <w:shd w:val="clear" w:color="auto" w:fill="auto"/>
            <w:vAlign w:val="center"/>
            <w:hideMark/>
          </w:tcPr>
          <w:p w14:paraId="5A26CC45"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TRANSPORTE ESCOLAR </w:t>
            </w:r>
          </w:p>
        </w:tc>
        <w:tc>
          <w:tcPr>
            <w:tcW w:w="1942" w:type="dxa"/>
            <w:tcBorders>
              <w:top w:val="nil"/>
              <w:left w:val="nil"/>
              <w:bottom w:val="single" w:sz="4" w:space="0" w:color="auto"/>
              <w:right w:val="single" w:sz="4" w:space="0" w:color="auto"/>
            </w:tcBorders>
            <w:shd w:val="clear" w:color="auto" w:fill="auto"/>
            <w:noWrap/>
            <w:vAlign w:val="center"/>
            <w:hideMark/>
          </w:tcPr>
          <w:p w14:paraId="1D775D2B"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0</w:t>
            </w:r>
          </w:p>
        </w:tc>
      </w:tr>
      <w:tr w:rsidR="00E92352" w:rsidRPr="00E92352" w14:paraId="4DAA1E5B"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F0EF94D"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2.1.2.2.8.1</w:t>
            </w:r>
          </w:p>
        </w:tc>
        <w:tc>
          <w:tcPr>
            <w:tcW w:w="5727" w:type="dxa"/>
            <w:tcBorders>
              <w:top w:val="nil"/>
              <w:left w:val="nil"/>
              <w:bottom w:val="single" w:sz="4" w:space="0" w:color="auto"/>
              <w:right w:val="single" w:sz="4" w:space="0" w:color="auto"/>
            </w:tcBorders>
            <w:shd w:val="clear" w:color="auto" w:fill="auto"/>
            <w:vAlign w:val="center"/>
            <w:hideMark/>
          </w:tcPr>
          <w:p w14:paraId="2C7EF822"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Transporte Escolar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1E01FF41"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38B73807" w14:textId="77777777" w:rsidTr="00E92352">
        <w:trPr>
          <w:trHeight w:val="653"/>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125B5650" w14:textId="77777777" w:rsidR="00E92352" w:rsidRPr="00E92352" w:rsidRDefault="00E92352" w:rsidP="00E92352">
            <w:pPr>
              <w:rPr>
                <w:rFonts w:ascii="Century Gothic" w:hAnsi="Century Gothic" w:cs="Calibri"/>
                <w:b/>
                <w:bCs/>
                <w:sz w:val="18"/>
                <w:szCs w:val="18"/>
                <w:lang w:val="es-CO" w:eastAsia="es-CO"/>
              </w:rPr>
            </w:pPr>
            <w:r w:rsidRPr="00E92352">
              <w:rPr>
                <w:rFonts w:ascii="Century Gothic" w:hAnsi="Century Gothic" w:cs="Calibri"/>
                <w:b/>
                <w:bCs/>
                <w:sz w:val="18"/>
                <w:szCs w:val="18"/>
                <w:lang w:val="es-CO" w:eastAsia="es-CO"/>
              </w:rPr>
              <w:t>2.1.2.2.9</w:t>
            </w:r>
          </w:p>
        </w:tc>
        <w:tc>
          <w:tcPr>
            <w:tcW w:w="5727" w:type="dxa"/>
            <w:tcBorders>
              <w:top w:val="nil"/>
              <w:left w:val="nil"/>
              <w:bottom w:val="single" w:sz="4" w:space="0" w:color="auto"/>
              <w:right w:val="single" w:sz="4" w:space="0" w:color="auto"/>
            </w:tcBorders>
            <w:shd w:val="clear" w:color="auto" w:fill="auto"/>
            <w:vAlign w:val="center"/>
            <w:hideMark/>
          </w:tcPr>
          <w:p w14:paraId="550AF8F4" w14:textId="77777777" w:rsidR="00E92352" w:rsidRPr="00E92352" w:rsidRDefault="00E92352" w:rsidP="00E92352">
            <w:pPr>
              <w:rPr>
                <w:rFonts w:ascii="Century Gothic" w:hAnsi="Century Gothic" w:cs="Calibri"/>
                <w:b/>
                <w:bCs/>
                <w:sz w:val="18"/>
                <w:szCs w:val="18"/>
                <w:lang w:val="es-CO" w:eastAsia="es-CO"/>
              </w:rPr>
            </w:pPr>
            <w:r w:rsidRPr="00E92352">
              <w:rPr>
                <w:rFonts w:ascii="Century Gothic" w:hAnsi="Century Gothic" w:cs="Calibri"/>
                <w:b/>
                <w:bCs/>
                <w:sz w:val="18"/>
                <w:szCs w:val="18"/>
                <w:lang w:val="es-CO" w:eastAsia="es-CO"/>
              </w:rPr>
              <w:t xml:space="preserve">CONSTRUCCION AMPLIACION Y ADECUACION DE INFRAESTRUCTURA EDU CATIVA </w:t>
            </w:r>
          </w:p>
        </w:tc>
        <w:tc>
          <w:tcPr>
            <w:tcW w:w="1942" w:type="dxa"/>
            <w:tcBorders>
              <w:top w:val="nil"/>
              <w:left w:val="nil"/>
              <w:bottom w:val="single" w:sz="4" w:space="0" w:color="auto"/>
              <w:right w:val="single" w:sz="4" w:space="0" w:color="auto"/>
            </w:tcBorders>
            <w:shd w:val="clear" w:color="auto" w:fill="auto"/>
            <w:noWrap/>
            <w:vAlign w:val="center"/>
            <w:hideMark/>
          </w:tcPr>
          <w:p w14:paraId="20FD83D5" w14:textId="77777777" w:rsidR="00E92352" w:rsidRPr="00E92352" w:rsidRDefault="00E92352" w:rsidP="00E92352">
            <w:pPr>
              <w:jc w:val="right"/>
              <w:rPr>
                <w:rFonts w:ascii="Century Gothic" w:hAnsi="Century Gothic" w:cs="Calibri"/>
                <w:b/>
                <w:bCs/>
                <w:sz w:val="18"/>
                <w:szCs w:val="18"/>
                <w:lang w:val="es-CO" w:eastAsia="es-CO"/>
              </w:rPr>
            </w:pPr>
            <w:r w:rsidRPr="00E92352">
              <w:rPr>
                <w:rFonts w:ascii="Century Gothic" w:hAnsi="Century Gothic" w:cs="Calibri"/>
                <w:b/>
                <w:bCs/>
                <w:sz w:val="18"/>
                <w:szCs w:val="18"/>
                <w:lang w:val="es-CO" w:eastAsia="es-CO"/>
              </w:rPr>
              <w:t>0</w:t>
            </w:r>
          </w:p>
        </w:tc>
      </w:tr>
      <w:tr w:rsidR="00E92352" w:rsidRPr="00E92352" w14:paraId="15AAC932" w14:textId="77777777" w:rsidTr="00E92352">
        <w:trPr>
          <w:trHeight w:val="653"/>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7ED407A" w14:textId="77777777" w:rsidR="00E92352" w:rsidRPr="00E92352" w:rsidRDefault="00E92352" w:rsidP="00E92352">
            <w:pPr>
              <w:rPr>
                <w:rFonts w:ascii="Century Gothic" w:hAnsi="Century Gothic" w:cs="Calibri"/>
                <w:sz w:val="18"/>
                <w:szCs w:val="18"/>
                <w:lang w:val="es-CO" w:eastAsia="es-CO"/>
              </w:rPr>
            </w:pPr>
            <w:r w:rsidRPr="00E92352">
              <w:rPr>
                <w:rFonts w:ascii="Century Gothic" w:hAnsi="Century Gothic" w:cs="Calibri"/>
                <w:sz w:val="18"/>
                <w:szCs w:val="18"/>
                <w:lang w:val="es-CO" w:eastAsia="es-CO"/>
              </w:rPr>
              <w:t>2.1.2.2.9.3</w:t>
            </w:r>
          </w:p>
        </w:tc>
        <w:tc>
          <w:tcPr>
            <w:tcW w:w="5727" w:type="dxa"/>
            <w:tcBorders>
              <w:top w:val="nil"/>
              <w:left w:val="nil"/>
              <w:bottom w:val="single" w:sz="4" w:space="0" w:color="auto"/>
              <w:right w:val="single" w:sz="4" w:space="0" w:color="auto"/>
            </w:tcBorders>
            <w:shd w:val="clear" w:color="auto" w:fill="auto"/>
            <w:vAlign w:val="center"/>
            <w:hideMark/>
          </w:tcPr>
          <w:p w14:paraId="13CF83A8" w14:textId="77777777" w:rsidR="00E92352" w:rsidRPr="00E92352" w:rsidRDefault="00E92352" w:rsidP="00E92352">
            <w:pPr>
              <w:rPr>
                <w:rFonts w:ascii="Century Gothic" w:hAnsi="Century Gothic" w:cs="Calibri"/>
                <w:sz w:val="18"/>
                <w:szCs w:val="18"/>
                <w:lang w:val="es-CO" w:eastAsia="es-CO"/>
              </w:rPr>
            </w:pPr>
            <w:r w:rsidRPr="00E92352">
              <w:rPr>
                <w:rFonts w:ascii="Century Gothic" w:hAnsi="Century Gothic" w:cs="Calibri"/>
                <w:sz w:val="18"/>
                <w:szCs w:val="18"/>
                <w:lang w:val="es-CO" w:eastAsia="es-CO"/>
              </w:rPr>
              <w:t>Construcción Ampliación Y Adecuación De Infraestructura Educativa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1AFA76C3" w14:textId="77777777" w:rsidR="00E92352" w:rsidRPr="00E92352" w:rsidRDefault="00E92352" w:rsidP="00E92352">
            <w:pPr>
              <w:jc w:val="right"/>
              <w:rPr>
                <w:rFonts w:ascii="Century Gothic" w:hAnsi="Century Gothic" w:cs="Calibri"/>
                <w:sz w:val="18"/>
                <w:szCs w:val="18"/>
                <w:lang w:val="es-CO" w:eastAsia="es-CO"/>
              </w:rPr>
            </w:pPr>
            <w:r w:rsidRPr="00E92352">
              <w:rPr>
                <w:rFonts w:ascii="Century Gothic" w:hAnsi="Century Gothic" w:cs="Calibri"/>
                <w:sz w:val="18"/>
                <w:szCs w:val="18"/>
                <w:lang w:val="es-CO" w:eastAsia="es-CO"/>
              </w:rPr>
              <w:t>0</w:t>
            </w:r>
          </w:p>
        </w:tc>
      </w:tr>
      <w:tr w:rsidR="00E92352" w:rsidRPr="00E92352" w14:paraId="2F5D734B"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53F53909"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2.1.2.2.10</w:t>
            </w:r>
          </w:p>
        </w:tc>
        <w:tc>
          <w:tcPr>
            <w:tcW w:w="5727" w:type="dxa"/>
            <w:tcBorders>
              <w:top w:val="nil"/>
              <w:left w:val="nil"/>
              <w:bottom w:val="single" w:sz="4" w:space="0" w:color="auto"/>
              <w:right w:val="single" w:sz="4" w:space="0" w:color="auto"/>
            </w:tcBorders>
            <w:shd w:val="clear" w:color="auto" w:fill="auto"/>
            <w:vAlign w:val="center"/>
            <w:hideMark/>
          </w:tcPr>
          <w:p w14:paraId="0199FF1E"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MANTENIMIENTO DE INFRAESTRUCTURA EDUCATIVA </w:t>
            </w:r>
          </w:p>
        </w:tc>
        <w:tc>
          <w:tcPr>
            <w:tcW w:w="1942" w:type="dxa"/>
            <w:tcBorders>
              <w:top w:val="nil"/>
              <w:left w:val="nil"/>
              <w:bottom w:val="single" w:sz="4" w:space="0" w:color="auto"/>
              <w:right w:val="single" w:sz="4" w:space="0" w:color="auto"/>
            </w:tcBorders>
            <w:shd w:val="clear" w:color="auto" w:fill="auto"/>
            <w:noWrap/>
            <w:vAlign w:val="center"/>
            <w:hideMark/>
          </w:tcPr>
          <w:p w14:paraId="0BDCC425"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25.000.000</w:t>
            </w:r>
          </w:p>
        </w:tc>
      </w:tr>
      <w:tr w:rsidR="00E92352" w:rsidRPr="00E92352" w14:paraId="1B21F987"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2F1CDDE6"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2.1.2.2.10.1</w:t>
            </w:r>
          </w:p>
        </w:tc>
        <w:tc>
          <w:tcPr>
            <w:tcW w:w="5727" w:type="dxa"/>
            <w:tcBorders>
              <w:top w:val="nil"/>
              <w:left w:val="nil"/>
              <w:bottom w:val="single" w:sz="4" w:space="0" w:color="auto"/>
              <w:right w:val="single" w:sz="4" w:space="0" w:color="auto"/>
            </w:tcBorders>
            <w:shd w:val="clear" w:color="auto" w:fill="auto"/>
            <w:vAlign w:val="center"/>
            <w:hideMark/>
          </w:tcPr>
          <w:p w14:paraId="017993FE"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Infraestructura Educativa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302F216C"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1.999.000</w:t>
            </w:r>
          </w:p>
        </w:tc>
      </w:tr>
      <w:tr w:rsidR="00E92352" w:rsidRPr="00E92352" w14:paraId="6F722186"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16E69BE"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2.1.2.2.10.3</w:t>
            </w:r>
          </w:p>
        </w:tc>
        <w:tc>
          <w:tcPr>
            <w:tcW w:w="5727" w:type="dxa"/>
            <w:tcBorders>
              <w:top w:val="nil"/>
              <w:left w:val="nil"/>
              <w:bottom w:val="single" w:sz="4" w:space="0" w:color="auto"/>
              <w:right w:val="single" w:sz="4" w:space="0" w:color="auto"/>
            </w:tcBorders>
            <w:shd w:val="clear" w:color="auto" w:fill="auto"/>
            <w:vAlign w:val="center"/>
            <w:hideMark/>
          </w:tcPr>
          <w:p w14:paraId="03DB4C42"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Infraestructura Educativa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0F09363B"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5.000.000</w:t>
            </w:r>
          </w:p>
        </w:tc>
      </w:tr>
      <w:tr w:rsidR="00E92352" w:rsidRPr="00E92352" w14:paraId="295D51FE"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87CF312"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2.1.2.2.10.2</w:t>
            </w:r>
          </w:p>
        </w:tc>
        <w:tc>
          <w:tcPr>
            <w:tcW w:w="5727" w:type="dxa"/>
            <w:tcBorders>
              <w:top w:val="nil"/>
              <w:left w:val="nil"/>
              <w:bottom w:val="single" w:sz="4" w:space="0" w:color="auto"/>
              <w:right w:val="single" w:sz="4" w:space="0" w:color="auto"/>
            </w:tcBorders>
            <w:shd w:val="clear" w:color="auto" w:fill="auto"/>
            <w:vAlign w:val="center"/>
            <w:hideMark/>
          </w:tcPr>
          <w:p w14:paraId="3C85BA0E" w14:textId="4195B492"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Infraestructura Educativa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713F6D9F"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18.000.000</w:t>
            </w:r>
          </w:p>
        </w:tc>
      </w:tr>
      <w:tr w:rsidR="00E92352" w:rsidRPr="00E92352" w14:paraId="6FF4D874"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C1F4008"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2.1.2.2.10.6</w:t>
            </w:r>
          </w:p>
        </w:tc>
        <w:tc>
          <w:tcPr>
            <w:tcW w:w="5727" w:type="dxa"/>
            <w:tcBorders>
              <w:top w:val="nil"/>
              <w:left w:val="nil"/>
              <w:bottom w:val="single" w:sz="4" w:space="0" w:color="auto"/>
              <w:right w:val="single" w:sz="4" w:space="0" w:color="auto"/>
            </w:tcBorders>
            <w:shd w:val="clear" w:color="auto" w:fill="auto"/>
            <w:vAlign w:val="center"/>
            <w:hideMark/>
          </w:tcPr>
          <w:p w14:paraId="55E86D0A"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Infraestructura Educativa -RB.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50ABF578"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1.000</w:t>
            </w:r>
          </w:p>
        </w:tc>
      </w:tr>
      <w:tr w:rsidR="00E92352" w:rsidRPr="00E92352" w14:paraId="181B292D"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1F20CE82"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2.1.2.2.11</w:t>
            </w:r>
          </w:p>
        </w:tc>
        <w:tc>
          <w:tcPr>
            <w:tcW w:w="5727" w:type="dxa"/>
            <w:tcBorders>
              <w:top w:val="nil"/>
              <w:left w:val="nil"/>
              <w:bottom w:val="single" w:sz="4" w:space="0" w:color="auto"/>
              <w:right w:val="single" w:sz="4" w:space="0" w:color="auto"/>
            </w:tcBorders>
            <w:shd w:val="clear" w:color="auto" w:fill="auto"/>
            <w:vAlign w:val="center"/>
            <w:hideMark/>
          </w:tcPr>
          <w:p w14:paraId="489F0826"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MANTENIMIENTO DE MOBILIARIO Y EQUIPO </w:t>
            </w:r>
          </w:p>
        </w:tc>
        <w:tc>
          <w:tcPr>
            <w:tcW w:w="1942" w:type="dxa"/>
            <w:tcBorders>
              <w:top w:val="nil"/>
              <w:left w:val="nil"/>
              <w:bottom w:val="single" w:sz="4" w:space="0" w:color="auto"/>
              <w:right w:val="single" w:sz="4" w:space="0" w:color="auto"/>
            </w:tcBorders>
            <w:shd w:val="clear" w:color="auto" w:fill="auto"/>
            <w:noWrap/>
            <w:vAlign w:val="center"/>
            <w:hideMark/>
          </w:tcPr>
          <w:p w14:paraId="1808791E"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7.000.000</w:t>
            </w:r>
          </w:p>
        </w:tc>
      </w:tr>
      <w:tr w:rsidR="00E92352" w:rsidRPr="00E92352" w14:paraId="766B44ED"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65075C71"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2.1.2.2.11.3</w:t>
            </w:r>
          </w:p>
        </w:tc>
        <w:tc>
          <w:tcPr>
            <w:tcW w:w="5727" w:type="dxa"/>
            <w:tcBorders>
              <w:top w:val="nil"/>
              <w:left w:val="nil"/>
              <w:bottom w:val="single" w:sz="4" w:space="0" w:color="auto"/>
              <w:right w:val="single" w:sz="4" w:space="0" w:color="auto"/>
            </w:tcBorders>
            <w:shd w:val="clear" w:color="auto" w:fill="auto"/>
            <w:vAlign w:val="center"/>
            <w:hideMark/>
          </w:tcPr>
          <w:p w14:paraId="6672449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Mobiliario Y Equipo -Municipio</w:t>
            </w:r>
          </w:p>
        </w:tc>
        <w:tc>
          <w:tcPr>
            <w:tcW w:w="1942" w:type="dxa"/>
            <w:tcBorders>
              <w:top w:val="nil"/>
              <w:left w:val="nil"/>
              <w:bottom w:val="single" w:sz="4" w:space="0" w:color="auto"/>
              <w:right w:val="single" w:sz="4" w:space="0" w:color="auto"/>
            </w:tcBorders>
            <w:shd w:val="clear" w:color="000000" w:fill="F2F2F2"/>
            <w:noWrap/>
            <w:vAlign w:val="center"/>
            <w:hideMark/>
          </w:tcPr>
          <w:p w14:paraId="48BF8557"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0</w:t>
            </w:r>
          </w:p>
        </w:tc>
      </w:tr>
      <w:tr w:rsidR="00E92352" w:rsidRPr="00E92352" w14:paraId="75F9E6BA"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C402EA3"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2.1.2.2.11.2</w:t>
            </w:r>
          </w:p>
        </w:tc>
        <w:tc>
          <w:tcPr>
            <w:tcW w:w="5727" w:type="dxa"/>
            <w:tcBorders>
              <w:top w:val="nil"/>
              <w:left w:val="nil"/>
              <w:bottom w:val="single" w:sz="4" w:space="0" w:color="auto"/>
              <w:right w:val="single" w:sz="4" w:space="0" w:color="auto"/>
            </w:tcBorders>
            <w:shd w:val="clear" w:color="auto" w:fill="auto"/>
            <w:vAlign w:val="center"/>
            <w:hideMark/>
          </w:tcPr>
          <w:p w14:paraId="1549E47B" w14:textId="6F046D5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Mantenimiento De Mobiliario Y Equipo -</w:t>
            </w:r>
            <w:r>
              <w:rPr>
                <w:rFonts w:ascii="Century Gothic" w:hAnsi="Century Gothic" w:cs="Calibri"/>
                <w:color w:val="000000"/>
                <w:sz w:val="18"/>
                <w:szCs w:val="18"/>
                <w:lang w:val="es-CO" w:eastAsia="es-CO"/>
              </w:rPr>
              <w:t>CONPES</w:t>
            </w:r>
          </w:p>
        </w:tc>
        <w:tc>
          <w:tcPr>
            <w:tcW w:w="1942" w:type="dxa"/>
            <w:tcBorders>
              <w:top w:val="nil"/>
              <w:left w:val="nil"/>
              <w:bottom w:val="single" w:sz="4" w:space="0" w:color="auto"/>
              <w:right w:val="single" w:sz="4" w:space="0" w:color="auto"/>
            </w:tcBorders>
            <w:shd w:val="clear" w:color="000000" w:fill="F2F2F2"/>
            <w:noWrap/>
            <w:vAlign w:val="center"/>
            <w:hideMark/>
          </w:tcPr>
          <w:p w14:paraId="4ECEFE2D"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7.000.000</w:t>
            </w:r>
          </w:p>
        </w:tc>
      </w:tr>
      <w:tr w:rsidR="00E92352" w:rsidRPr="00E92352" w14:paraId="4B57EBF3"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F155A5F"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2.1.2.2.12</w:t>
            </w:r>
          </w:p>
        </w:tc>
        <w:tc>
          <w:tcPr>
            <w:tcW w:w="5727" w:type="dxa"/>
            <w:tcBorders>
              <w:top w:val="nil"/>
              <w:left w:val="nil"/>
              <w:bottom w:val="single" w:sz="4" w:space="0" w:color="auto"/>
              <w:right w:val="single" w:sz="4" w:space="0" w:color="auto"/>
            </w:tcBorders>
            <w:shd w:val="clear" w:color="auto" w:fill="auto"/>
            <w:vAlign w:val="center"/>
            <w:hideMark/>
          </w:tcPr>
          <w:p w14:paraId="41389819"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GASTOS Y COMISIONES BANCARIAS </w:t>
            </w:r>
          </w:p>
        </w:tc>
        <w:tc>
          <w:tcPr>
            <w:tcW w:w="1942" w:type="dxa"/>
            <w:tcBorders>
              <w:top w:val="nil"/>
              <w:left w:val="nil"/>
              <w:bottom w:val="single" w:sz="4" w:space="0" w:color="auto"/>
              <w:right w:val="single" w:sz="4" w:space="0" w:color="auto"/>
            </w:tcBorders>
            <w:shd w:val="clear" w:color="auto" w:fill="auto"/>
            <w:noWrap/>
            <w:vAlign w:val="center"/>
            <w:hideMark/>
          </w:tcPr>
          <w:p w14:paraId="332FC9A7"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798.000</w:t>
            </w:r>
          </w:p>
        </w:tc>
      </w:tr>
      <w:tr w:rsidR="00E92352" w:rsidRPr="00E92352" w14:paraId="5BB65590"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0703B2C8"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2.1.2.2.12.1</w:t>
            </w:r>
          </w:p>
        </w:tc>
        <w:tc>
          <w:tcPr>
            <w:tcW w:w="5727" w:type="dxa"/>
            <w:tcBorders>
              <w:top w:val="nil"/>
              <w:left w:val="nil"/>
              <w:bottom w:val="single" w:sz="4" w:space="0" w:color="auto"/>
              <w:right w:val="single" w:sz="4" w:space="0" w:color="auto"/>
            </w:tcBorders>
            <w:shd w:val="clear" w:color="auto" w:fill="auto"/>
            <w:vAlign w:val="center"/>
            <w:hideMark/>
          </w:tcPr>
          <w:p w14:paraId="33EE4C8B"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Gastos y Comisiones Bancarias  -Propios</w:t>
            </w:r>
          </w:p>
        </w:tc>
        <w:tc>
          <w:tcPr>
            <w:tcW w:w="1942" w:type="dxa"/>
            <w:tcBorders>
              <w:top w:val="nil"/>
              <w:left w:val="nil"/>
              <w:bottom w:val="single" w:sz="4" w:space="0" w:color="auto"/>
              <w:right w:val="single" w:sz="4" w:space="0" w:color="auto"/>
            </w:tcBorders>
            <w:shd w:val="clear" w:color="000000" w:fill="F2F2F2"/>
            <w:noWrap/>
            <w:vAlign w:val="center"/>
            <w:hideMark/>
          </w:tcPr>
          <w:p w14:paraId="57FB3893"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1.000</w:t>
            </w:r>
          </w:p>
        </w:tc>
      </w:tr>
      <w:tr w:rsidR="00E92352" w:rsidRPr="00E92352" w14:paraId="3161DDAB"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14:paraId="7CFD604F"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2.1.2.2.12.4</w:t>
            </w:r>
          </w:p>
        </w:tc>
        <w:tc>
          <w:tcPr>
            <w:tcW w:w="5727" w:type="dxa"/>
            <w:tcBorders>
              <w:top w:val="nil"/>
              <w:left w:val="nil"/>
              <w:bottom w:val="single" w:sz="4" w:space="0" w:color="auto"/>
              <w:right w:val="single" w:sz="4" w:space="0" w:color="auto"/>
            </w:tcBorders>
            <w:shd w:val="clear" w:color="auto" w:fill="auto"/>
            <w:vAlign w:val="center"/>
            <w:hideMark/>
          </w:tcPr>
          <w:p w14:paraId="1F649F3A"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Gastos y Comisiones Bancarias  -Capital</w:t>
            </w:r>
          </w:p>
        </w:tc>
        <w:tc>
          <w:tcPr>
            <w:tcW w:w="1942" w:type="dxa"/>
            <w:tcBorders>
              <w:top w:val="nil"/>
              <w:left w:val="nil"/>
              <w:bottom w:val="single" w:sz="4" w:space="0" w:color="auto"/>
              <w:right w:val="single" w:sz="4" w:space="0" w:color="auto"/>
            </w:tcBorders>
            <w:shd w:val="clear" w:color="000000" w:fill="F2F2F2"/>
            <w:noWrap/>
            <w:vAlign w:val="center"/>
            <w:hideMark/>
          </w:tcPr>
          <w:p w14:paraId="723D3687" w14:textId="77777777" w:rsidR="00E92352" w:rsidRPr="00E92352" w:rsidRDefault="00E92352" w:rsidP="00E92352">
            <w:pPr>
              <w:jc w:val="right"/>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797.000</w:t>
            </w:r>
          </w:p>
        </w:tc>
      </w:tr>
      <w:tr w:rsidR="00E92352" w:rsidRPr="00E92352" w14:paraId="0CA94750" w14:textId="77777777" w:rsidTr="00E92352">
        <w:trPr>
          <w:trHeight w:val="326"/>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281B015" w14:textId="77777777" w:rsidR="00E92352" w:rsidRPr="00E92352" w:rsidRDefault="00E92352" w:rsidP="00E92352">
            <w:pPr>
              <w:rPr>
                <w:rFonts w:ascii="Century Gothic" w:hAnsi="Century Gothic" w:cs="Calibri"/>
                <w:color w:val="000000"/>
                <w:sz w:val="18"/>
                <w:szCs w:val="18"/>
                <w:lang w:val="es-CO" w:eastAsia="es-CO"/>
              </w:rPr>
            </w:pPr>
            <w:r w:rsidRPr="00E92352">
              <w:rPr>
                <w:rFonts w:ascii="Century Gothic" w:hAnsi="Century Gothic" w:cs="Calibri"/>
                <w:color w:val="000000"/>
                <w:sz w:val="18"/>
                <w:szCs w:val="18"/>
                <w:lang w:val="es-CO" w:eastAsia="es-CO"/>
              </w:rPr>
              <w:t> </w:t>
            </w:r>
          </w:p>
        </w:tc>
        <w:tc>
          <w:tcPr>
            <w:tcW w:w="5727" w:type="dxa"/>
            <w:tcBorders>
              <w:top w:val="nil"/>
              <w:left w:val="nil"/>
              <w:bottom w:val="single" w:sz="4" w:space="0" w:color="auto"/>
              <w:right w:val="single" w:sz="4" w:space="0" w:color="auto"/>
            </w:tcBorders>
            <w:shd w:val="clear" w:color="000000" w:fill="A9D08E"/>
            <w:vAlign w:val="center"/>
            <w:hideMark/>
          </w:tcPr>
          <w:p w14:paraId="144CC9A2" w14:textId="77777777" w:rsidR="00E92352" w:rsidRPr="00E92352" w:rsidRDefault="00E92352" w:rsidP="00E92352">
            <w:pPr>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 xml:space="preserve">TOTAL PRESUPUESTO DE FUNCIONAMIENTO E INVERSION </w:t>
            </w:r>
          </w:p>
        </w:tc>
        <w:tc>
          <w:tcPr>
            <w:tcW w:w="1942" w:type="dxa"/>
            <w:tcBorders>
              <w:top w:val="nil"/>
              <w:left w:val="nil"/>
              <w:bottom w:val="single" w:sz="4" w:space="0" w:color="auto"/>
              <w:right w:val="single" w:sz="4" w:space="0" w:color="auto"/>
            </w:tcBorders>
            <w:shd w:val="clear" w:color="000000" w:fill="A9D08E"/>
            <w:noWrap/>
            <w:vAlign w:val="center"/>
            <w:hideMark/>
          </w:tcPr>
          <w:p w14:paraId="60E00193" w14:textId="77777777" w:rsidR="00E92352" w:rsidRPr="00E92352" w:rsidRDefault="00E92352" w:rsidP="00E92352">
            <w:pPr>
              <w:jc w:val="right"/>
              <w:rPr>
                <w:rFonts w:ascii="Century Gothic" w:hAnsi="Century Gothic" w:cs="Calibri"/>
                <w:b/>
                <w:bCs/>
                <w:color w:val="000000"/>
                <w:sz w:val="18"/>
                <w:szCs w:val="18"/>
                <w:lang w:val="es-CO" w:eastAsia="es-CO"/>
              </w:rPr>
            </w:pPr>
            <w:r w:rsidRPr="00E92352">
              <w:rPr>
                <w:rFonts w:ascii="Century Gothic" w:hAnsi="Century Gothic" w:cs="Calibri"/>
                <w:b/>
                <w:bCs/>
                <w:color w:val="000000"/>
                <w:sz w:val="18"/>
                <w:szCs w:val="18"/>
                <w:lang w:val="es-CO" w:eastAsia="es-CO"/>
              </w:rPr>
              <w:t>111.663.208</w:t>
            </w:r>
          </w:p>
        </w:tc>
      </w:tr>
    </w:tbl>
    <w:p w14:paraId="314FBDDD" w14:textId="77777777" w:rsidR="00275903" w:rsidRPr="00333C4A" w:rsidRDefault="00275903" w:rsidP="002F0391">
      <w:pPr>
        <w:jc w:val="both"/>
        <w:rPr>
          <w:rFonts w:ascii="Century Gothic" w:hAnsi="Century Gothic" w:cstheme="minorHAnsi"/>
          <w:b/>
          <w:sz w:val="22"/>
          <w:szCs w:val="22"/>
        </w:rPr>
      </w:pPr>
    </w:p>
    <w:p w14:paraId="022CD51A" w14:textId="0F681C90" w:rsidR="00275903" w:rsidRPr="00333C4A" w:rsidRDefault="00275903" w:rsidP="00275903">
      <w:pPr>
        <w:jc w:val="both"/>
        <w:rPr>
          <w:rFonts w:ascii="Century Gothic" w:hAnsi="Century Gothic" w:cstheme="minorHAnsi"/>
          <w:sz w:val="22"/>
          <w:szCs w:val="22"/>
        </w:rPr>
      </w:pPr>
      <w:r w:rsidRPr="00333C4A">
        <w:rPr>
          <w:rFonts w:ascii="Century Gothic" w:hAnsi="Century Gothic" w:cstheme="minorHAnsi"/>
          <w:b/>
          <w:sz w:val="22"/>
          <w:szCs w:val="22"/>
        </w:rPr>
        <w:t>ARTICULO 3°</w:t>
      </w:r>
      <w:r w:rsidRPr="00333C4A">
        <w:rPr>
          <w:rFonts w:ascii="Century Gothic" w:hAnsi="Century Gothic" w:cstheme="minorHAnsi"/>
          <w:sz w:val="22"/>
          <w:szCs w:val="22"/>
        </w:rPr>
        <w:t>: Según los artículos anteriores, Apruébese el Plan Anual de Adquisiciones PAA, para la vigencia fiscal del año 202</w:t>
      </w:r>
      <w:r w:rsidR="00333C4A" w:rsidRPr="00333C4A">
        <w:rPr>
          <w:rFonts w:ascii="Century Gothic" w:hAnsi="Century Gothic" w:cstheme="minorHAnsi"/>
          <w:sz w:val="22"/>
          <w:szCs w:val="22"/>
        </w:rPr>
        <w:t>1</w:t>
      </w:r>
      <w:r w:rsidRPr="00333C4A">
        <w:rPr>
          <w:rFonts w:ascii="Century Gothic" w:hAnsi="Century Gothic" w:cstheme="minorHAnsi"/>
          <w:sz w:val="22"/>
          <w:szCs w:val="22"/>
        </w:rPr>
        <w:t xml:space="preserve">, como componentes del sistema presupuestal que indica la inversión y los proyectos a ejecutar en concordancia con el Proyecto Educativo Institucional PEI. </w:t>
      </w:r>
    </w:p>
    <w:p w14:paraId="0B54AE77" w14:textId="77777777" w:rsidR="00275903" w:rsidRPr="00333C4A" w:rsidRDefault="00275903" w:rsidP="002F0391">
      <w:pPr>
        <w:jc w:val="both"/>
        <w:rPr>
          <w:rFonts w:ascii="Century Gothic" w:hAnsi="Century Gothic" w:cstheme="minorHAnsi"/>
          <w:b/>
          <w:sz w:val="22"/>
          <w:szCs w:val="22"/>
        </w:rPr>
        <w:sectPr w:rsidR="00275903" w:rsidRPr="00333C4A" w:rsidSect="0069109D">
          <w:headerReference w:type="default" r:id="rId8"/>
          <w:footerReference w:type="default" r:id="rId9"/>
          <w:pgSz w:w="12240" w:h="15840" w:code="1"/>
          <w:pgMar w:top="1304" w:right="1752" w:bottom="1418" w:left="1701" w:header="709" w:footer="709" w:gutter="0"/>
          <w:cols w:space="708"/>
          <w:docGrid w:linePitch="360"/>
        </w:sectPr>
      </w:pPr>
    </w:p>
    <w:p w14:paraId="6E63A53F" w14:textId="69AD46FF" w:rsidR="00444405" w:rsidRPr="00333C4A" w:rsidRDefault="007C42DA" w:rsidP="002F0391">
      <w:pPr>
        <w:jc w:val="both"/>
        <w:rPr>
          <w:rFonts w:ascii="Century Gothic" w:hAnsi="Century Gothic" w:cstheme="minorHAnsi"/>
          <w:sz w:val="22"/>
          <w:szCs w:val="22"/>
        </w:rPr>
        <w:sectPr w:rsidR="00444405" w:rsidRPr="00333C4A" w:rsidSect="00275903">
          <w:pgSz w:w="15840" w:h="12240" w:orient="landscape" w:code="1"/>
          <w:pgMar w:top="1701" w:right="1304" w:bottom="1752" w:left="1418" w:header="709" w:footer="709" w:gutter="0"/>
          <w:cols w:space="708"/>
          <w:docGrid w:linePitch="360"/>
        </w:sectPr>
      </w:pPr>
      <w:r w:rsidRPr="007C42DA">
        <w:rPr>
          <w:noProof/>
          <w:lang w:val="es-CO" w:eastAsia="es-CO"/>
        </w:rPr>
        <w:lastRenderedPageBreak/>
        <w:drawing>
          <wp:inline distT="0" distB="0" distL="0" distR="0" wp14:anchorId="087369D7" wp14:editId="28A3F491">
            <wp:extent cx="8329724" cy="47053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3791" cy="4707648"/>
                    </a:xfrm>
                    <a:prstGeom prst="rect">
                      <a:avLst/>
                    </a:prstGeom>
                    <a:noFill/>
                    <a:ln>
                      <a:noFill/>
                    </a:ln>
                  </pic:spPr>
                </pic:pic>
              </a:graphicData>
            </a:graphic>
          </wp:inline>
        </w:drawing>
      </w:r>
    </w:p>
    <w:p w14:paraId="2F3A6D67" w14:textId="41EDB5AF" w:rsidR="00310E31" w:rsidRPr="00333C4A" w:rsidRDefault="007C42DA" w:rsidP="00FD4817">
      <w:pPr>
        <w:jc w:val="both"/>
        <w:rPr>
          <w:rFonts w:ascii="Century Gothic" w:hAnsi="Century Gothic" w:cstheme="minorHAnsi"/>
          <w:b/>
          <w:sz w:val="22"/>
          <w:szCs w:val="22"/>
        </w:rPr>
      </w:pPr>
      <w:r w:rsidRPr="007C42DA">
        <w:rPr>
          <w:noProof/>
          <w:lang w:val="es-CO" w:eastAsia="es-CO"/>
        </w:rPr>
        <w:lastRenderedPageBreak/>
        <w:drawing>
          <wp:inline distT="0" distB="0" distL="0" distR="0" wp14:anchorId="799FF96F" wp14:editId="6A248641">
            <wp:extent cx="8329295" cy="48958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0047" cy="4896292"/>
                    </a:xfrm>
                    <a:prstGeom prst="rect">
                      <a:avLst/>
                    </a:prstGeom>
                    <a:noFill/>
                    <a:ln>
                      <a:noFill/>
                    </a:ln>
                  </pic:spPr>
                </pic:pic>
              </a:graphicData>
            </a:graphic>
          </wp:inline>
        </w:drawing>
      </w:r>
    </w:p>
    <w:p w14:paraId="19765F07" w14:textId="12475B70" w:rsidR="00CA2F85" w:rsidRPr="00333C4A" w:rsidRDefault="00CA2F85" w:rsidP="00FD4817">
      <w:pPr>
        <w:jc w:val="both"/>
        <w:rPr>
          <w:rFonts w:ascii="Century Gothic" w:hAnsi="Century Gothic" w:cstheme="minorHAnsi"/>
          <w:b/>
          <w:sz w:val="22"/>
          <w:szCs w:val="22"/>
        </w:rPr>
      </w:pPr>
    </w:p>
    <w:p w14:paraId="40405EB7" w14:textId="5E385F53" w:rsidR="00CA2F85" w:rsidRPr="00333C4A" w:rsidRDefault="007C42DA" w:rsidP="00FD4817">
      <w:pPr>
        <w:jc w:val="both"/>
        <w:rPr>
          <w:rFonts w:ascii="Century Gothic" w:hAnsi="Century Gothic" w:cstheme="minorHAnsi"/>
          <w:b/>
          <w:sz w:val="22"/>
          <w:szCs w:val="22"/>
        </w:rPr>
      </w:pPr>
      <w:r w:rsidRPr="007C42DA">
        <w:rPr>
          <w:noProof/>
          <w:lang w:val="es-CO" w:eastAsia="es-CO"/>
        </w:rPr>
        <w:drawing>
          <wp:inline distT="0" distB="0" distL="0" distR="0" wp14:anchorId="7284CCA6" wp14:editId="443CE35B">
            <wp:extent cx="8329295" cy="47625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31597" cy="4763816"/>
                    </a:xfrm>
                    <a:prstGeom prst="rect">
                      <a:avLst/>
                    </a:prstGeom>
                    <a:noFill/>
                    <a:ln>
                      <a:noFill/>
                    </a:ln>
                  </pic:spPr>
                </pic:pic>
              </a:graphicData>
            </a:graphic>
          </wp:inline>
        </w:drawing>
      </w:r>
    </w:p>
    <w:p w14:paraId="6F83CD20" w14:textId="1E308890" w:rsidR="00FD4817" w:rsidRPr="00333C4A" w:rsidRDefault="007C42DA" w:rsidP="00FD4817">
      <w:pPr>
        <w:jc w:val="both"/>
        <w:rPr>
          <w:rFonts w:ascii="Century Gothic" w:hAnsi="Century Gothic" w:cstheme="minorHAnsi"/>
          <w:b/>
          <w:sz w:val="22"/>
          <w:szCs w:val="22"/>
        </w:rPr>
      </w:pPr>
      <w:r w:rsidRPr="007C42DA">
        <w:rPr>
          <w:noProof/>
          <w:lang w:val="es-CO" w:eastAsia="es-CO"/>
        </w:rPr>
        <w:lastRenderedPageBreak/>
        <w:drawing>
          <wp:inline distT="0" distB="0" distL="0" distR="0" wp14:anchorId="03EBFDEE" wp14:editId="3E078E0B">
            <wp:extent cx="8410575" cy="40862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10575" cy="4086225"/>
                    </a:xfrm>
                    <a:prstGeom prst="rect">
                      <a:avLst/>
                    </a:prstGeom>
                    <a:noFill/>
                    <a:ln>
                      <a:noFill/>
                    </a:ln>
                  </pic:spPr>
                </pic:pic>
              </a:graphicData>
            </a:graphic>
          </wp:inline>
        </w:drawing>
      </w:r>
      <w:r w:rsidRPr="007C42DA">
        <w:t xml:space="preserve"> </w:t>
      </w:r>
      <w:r w:rsidR="00FD4817" w:rsidRPr="00333C4A">
        <w:rPr>
          <w:rFonts w:ascii="Century Gothic" w:hAnsi="Century Gothic" w:cstheme="minorHAnsi"/>
          <w:b/>
          <w:sz w:val="22"/>
          <w:szCs w:val="22"/>
        </w:rPr>
        <w:t>ARTÍCULO 4°:</w:t>
      </w:r>
      <w:r w:rsidR="00FD4817" w:rsidRPr="00333C4A">
        <w:rPr>
          <w:rFonts w:ascii="Century Gothic" w:hAnsi="Century Gothic" w:cstheme="minorHAnsi"/>
          <w:sz w:val="22"/>
          <w:szCs w:val="22"/>
        </w:rPr>
        <w:t xml:space="preserve"> Apruébese el Plan Anual </w:t>
      </w:r>
      <w:proofErr w:type="spellStart"/>
      <w:r w:rsidR="00FD4817" w:rsidRPr="00333C4A">
        <w:rPr>
          <w:rFonts w:ascii="Century Gothic" w:hAnsi="Century Gothic" w:cstheme="minorHAnsi"/>
          <w:sz w:val="22"/>
          <w:szCs w:val="22"/>
        </w:rPr>
        <w:t>Mensualizado</w:t>
      </w:r>
      <w:proofErr w:type="spellEnd"/>
      <w:r w:rsidR="00FD4817" w:rsidRPr="00333C4A">
        <w:rPr>
          <w:rFonts w:ascii="Century Gothic" w:hAnsi="Century Gothic" w:cstheme="minorHAnsi"/>
          <w:sz w:val="22"/>
          <w:szCs w:val="22"/>
        </w:rPr>
        <w:t xml:space="preserve"> de Caja PAC,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 de la Institución Educativa, del municipio de Ibagué, para la vigencia fiscal comprendida entre el 1 de enero y 31 de diciembre de 20</w:t>
      </w:r>
      <w:r w:rsidR="00310E31" w:rsidRPr="00333C4A">
        <w:rPr>
          <w:rFonts w:ascii="Century Gothic" w:hAnsi="Century Gothic" w:cstheme="minorHAnsi"/>
          <w:sz w:val="22"/>
          <w:szCs w:val="22"/>
        </w:rPr>
        <w:t>2</w:t>
      </w:r>
      <w:r w:rsidR="00333C4A" w:rsidRPr="00333C4A">
        <w:rPr>
          <w:rFonts w:ascii="Century Gothic" w:hAnsi="Century Gothic" w:cstheme="minorHAnsi"/>
          <w:sz w:val="22"/>
          <w:szCs w:val="22"/>
        </w:rPr>
        <w:t>1</w:t>
      </w:r>
    </w:p>
    <w:p w14:paraId="62194786" w14:textId="505C26FD" w:rsidR="001D4134" w:rsidRPr="00333C4A" w:rsidRDefault="00A94284" w:rsidP="00FD4817">
      <w:pPr>
        <w:tabs>
          <w:tab w:val="left" w:pos="1050"/>
        </w:tabs>
        <w:rPr>
          <w:rFonts w:ascii="Century Gothic" w:hAnsi="Century Gothic" w:cstheme="minorHAnsi"/>
          <w:sz w:val="22"/>
          <w:szCs w:val="22"/>
        </w:rPr>
      </w:pPr>
      <w:r w:rsidRPr="00A94284">
        <w:rPr>
          <w:noProof/>
          <w:lang w:val="es-CO" w:eastAsia="es-CO"/>
        </w:rPr>
        <w:lastRenderedPageBreak/>
        <w:drawing>
          <wp:anchor distT="0" distB="0" distL="114300" distR="114300" simplePos="0" relativeHeight="251660288" behindDoc="0" locked="0" layoutInCell="1" allowOverlap="1" wp14:anchorId="694722DB" wp14:editId="570F242E">
            <wp:simplePos x="0" y="0"/>
            <wp:positionH relativeFrom="margin">
              <wp:posOffset>-481330</wp:posOffset>
            </wp:positionH>
            <wp:positionV relativeFrom="paragraph">
              <wp:posOffset>238125</wp:posOffset>
            </wp:positionV>
            <wp:extent cx="9458325" cy="4752975"/>
            <wp:effectExtent l="0" t="0" r="952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583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34" w:rsidRPr="00333C4A">
        <w:rPr>
          <w:rFonts w:ascii="Century Gothic" w:hAnsi="Century Gothic" w:cstheme="minorHAnsi"/>
          <w:sz w:val="22"/>
          <w:szCs w:val="22"/>
        </w:rPr>
        <w:t>PAC INGRESOS</w:t>
      </w:r>
    </w:p>
    <w:p w14:paraId="7D19591B" w14:textId="07187564" w:rsidR="00076DE2" w:rsidRPr="00333C4A" w:rsidRDefault="007C42DA" w:rsidP="00FD4817">
      <w:pPr>
        <w:tabs>
          <w:tab w:val="left" w:pos="1050"/>
        </w:tabs>
        <w:rPr>
          <w:rFonts w:ascii="Century Gothic" w:hAnsi="Century Gothic" w:cstheme="minorHAnsi"/>
          <w:sz w:val="22"/>
          <w:szCs w:val="22"/>
        </w:rPr>
      </w:pPr>
      <w:r w:rsidRPr="007C42DA">
        <w:rPr>
          <w:noProof/>
          <w:lang w:val="es-CO" w:eastAsia="es-CO"/>
        </w:rPr>
        <w:lastRenderedPageBreak/>
        <w:drawing>
          <wp:anchor distT="0" distB="0" distL="114300" distR="114300" simplePos="0" relativeHeight="251659264" behindDoc="0" locked="0" layoutInCell="1" allowOverlap="1" wp14:anchorId="7440D681" wp14:editId="0F2E6621">
            <wp:simplePos x="0" y="0"/>
            <wp:positionH relativeFrom="column">
              <wp:posOffset>-433705</wp:posOffset>
            </wp:positionH>
            <wp:positionV relativeFrom="paragraph">
              <wp:posOffset>266065</wp:posOffset>
            </wp:positionV>
            <wp:extent cx="9115425" cy="4448175"/>
            <wp:effectExtent l="0" t="0" r="9525" b="9525"/>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15425" cy="444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34" w:rsidRPr="00333C4A">
        <w:rPr>
          <w:rFonts w:ascii="Century Gothic" w:hAnsi="Century Gothic" w:cstheme="minorHAnsi"/>
          <w:sz w:val="22"/>
          <w:szCs w:val="22"/>
        </w:rPr>
        <w:t>PAC GASTOS</w:t>
      </w:r>
    </w:p>
    <w:p w14:paraId="6474B72C" w14:textId="086D1585" w:rsidR="003856DD" w:rsidRPr="00333C4A" w:rsidRDefault="003856DD" w:rsidP="00FD4817">
      <w:pPr>
        <w:tabs>
          <w:tab w:val="left" w:pos="1050"/>
        </w:tabs>
        <w:rPr>
          <w:rFonts w:ascii="Century Gothic" w:hAnsi="Century Gothic" w:cstheme="minorHAnsi"/>
          <w:sz w:val="22"/>
          <w:szCs w:val="22"/>
        </w:rPr>
      </w:pPr>
    </w:p>
    <w:p w14:paraId="7EFF08ED" w14:textId="1F923909" w:rsidR="003856DD" w:rsidRPr="00333C4A" w:rsidRDefault="003856DD" w:rsidP="00FD4817">
      <w:pPr>
        <w:tabs>
          <w:tab w:val="left" w:pos="1050"/>
        </w:tabs>
        <w:rPr>
          <w:rFonts w:ascii="Century Gothic" w:hAnsi="Century Gothic" w:cstheme="minorHAnsi"/>
          <w:sz w:val="22"/>
          <w:szCs w:val="22"/>
        </w:rPr>
        <w:sectPr w:rsidR="003856DD" w:rsidRPr="00333C4A" w:rsidSect="007C42DA">
          <w:pgSz w:w="15840" w:h="12240" w:orient="landscape" w:code="1"/>
          <w:pgMar w:top="1701" w:right="1304" w:bottom="1752" w:left="1418" w:header="709" w:footer="144" w:gutter="0"/>
          <w:cols w:space="708"/>
          <w:docGrid w:linePitch="360"/>
        </w:sectPr>
      </w:pPr>
    </w:p>
    <w:p w14:paraId="7C80512A"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lastRenderedPageBreak/>
        <w:t>SEGUNDA PARTE</w:t>
      </w:r>
    </w:p>
    <w:p w14:paraId="61B6A3C7" w14:textId="77777777" w:rsidR="00333C4A" w:rsidRPr="00333C4A" w:rsidRDefault="00333C4A" w:rsidP="00333C4A">
      <w:pPr>
        <w:jc w:val="both"/>
        <w:rPr>
          <w:rFonts w:ascii="Century Gothic" w:hAnsi="Century Gothic" w:cs="Arial"/>
          <w:sz w:val="22"/>
          <w:szCs w:val="22"/>
          <w:lang w:val="es-CO"/>
        </w:rPr>
      </w:pPr>
    </w:p>
    <w:p w14:paraId="2FE86152" w14:textId="77777777" w:rsidR="007C42DA" w:rsidRDefault="007C42DA" w:rsidP="00333C4A">
      <w:pPr>
        <w:jc w:val="center"/>
        <w:rPr>
          <w:rFonts w:ascii="Century Gothic" w:hAnsi="Century Gothic" w:cs="Arial"/>
          <w:b/>
          <w:sz w:val="22"/>
          <w:szCs w:val="22"/>
          <w:lang w:val="es-CO"/>
        </w:rPr>
      </w:pPr>
    </w:p>
    <w:p w14:paraId="36B5FC4F" w14:textId="40F5C73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DISPOSICIONES GENERALES DEL PRESUPUESTO</w:t>
      </w:r>
    </w:p>
    <w:p w14:paraId="7E9D3591" w14:textId="77777777" w:rsidR="00333C4A" w:rsidRPr="00333C4A" w:rsidRDefault="00333C4A" w:rsidP="00333C4A">
      <w:pPr>
        <w:jc w:val="both"/>
        <w:rPr>
          <w:rFonts w:ascii="Century Gothic" w:hAnsi="Century Gothic" w:cs="Arial"/>
          <w:sz w:val="22"/>
          <w:szCs w:val="22"/>
          <w:lang w:val="es-CO"/>
        </w:rPr>
      </w:pPr>
    </w:p>
    <w:p w14:paraId="701CF7D4"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5°:</w:t>
      </w:r>
      <w:r w:rsidRPr="00333C4A">
        <w:rPr>
          <w:rFonts w:ascii="Century Gothic" w:hAnsi="Century Gothic" w:cs="Arial"/>
          <w:sz w:val="22"/>
          <w:szCs w:val="22"/>
          <w:lang w:val="es-CO"/>
        </w:rPr>
        <w:t xml:space="preserve"> Las disposiciones Generales del presente Acuerdo, son complementarias de la Ley 115, ley 715 de diciembre de 2001 y su decreto reglamentario 1075 de 2015  y deben aplicarse  en armonía con éstas.</w:t>
      </w:r>
    </w:p>
    <w:p w14:paraId="225C7F79" w14:textId="77777777" w:rsidR="00333C4A" w:rsidRPr="00333C4A" w:rsidRDefault="00333C4A" w:rsidP="00333C4A">
      <w:pPr>
        <w:jc w:val="both"/>
        <w:rPr>
          <w:rFonts w:ascii="Century Gothic" w:hAnsi="Century Gothic" w:cs="Arial"/>
          <w:sz w:val="22"/>
          <w:szCs w:val="22"/>
          <w:lang w:val="es-CO"/>
        </w:rPr>
      </w:pPr>
    </w:p>
    <w:p w14:paraId="5192F762"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CAMPO DE APLICACIÓN</w:t>
      </w:r>
    </w:p>
    <w:p w14:paraId="0E294DCF" w14:textId="77777777" w:rsidR="00333C4A" w:rsidRPr="00333C4A" w:rsidRDefault="00333C4A" w:rsidP="00333C4A">
      <w:pPr>
        <w:jc w:val="both"/>
        <w:rPr>
          <w:rFonts w:ascii="Century Gothic" w:hAnsi="Century Gothic" w:cs="Arial"/>
          <w:sz w:val="22"/>
          <w:szCs w:val="22"/>
          <w:lang w:val="es-CO"/>
        </w:rPr>
      </w:pPr>
    </w:p>
    <w:p w14:paraId="619AC48E"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6°.</w:t>
      </w:r>
      <w:r w:rsidRPr="00333C4A">
        <w:rPr>
          <w:rFonts w:ascii="Century Gothic" w:hAnsi="Century Gothic" w:cs="Arial"/>
          <w:sz w:val="22"/>
          <w:szCs w:val="22"/>
          <w:lang w:val="es-CO"/>
        </w:rPr>
        <w:t xml:space="preserve"> El Presupuesto de Ingresos  contiene la estimación de los Ingresos operacionales, transferencias y Recursos de Capital del fondo de servicios educativos de la institución desagregado por códigos presupuestales, fuentes e ítems.  La  tesorería en coordinación con el consejo directivo de  la institución fijará los criterios técnicos para el manejo de los excedentes de liquidez del Tesoro institucional, acorde con los objetivos financieros del ente educativo y con base en lo dispuesto por la Secretaría de Educación Municipal de Ibagué.</w:t>
      </w:r>
    </w:p>
    <w:p w14:paraId="09736AEF" w14:textId="77777777" w:rsidR="00333C4A" w:rsidRPr="00333C4A" w:rsidRDefault="00333C4A" w:rsidP="00333C4A">
      <w:pPr>
        <w:jc w:val="both"/>
        <w:rPr>
          <w:rFonts w:ascii="Century Gothic" w:hAnsi="Century Gothic" w:cs="Arial"/>
          <w:sz w:val="22"/>
          <w:szCs w:val="22"/>
          <w:highlight w:val="yellow"/>
          <w:lang w:val="es-CO"/>
        </w:rPr>
      </w:pPr>
    </w:p>
    <w:p w14:paraId="2BDA0328"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DE LOS GASTOS</w:t>
      </w:r>
    </w:p>
    <w:p w14:paraId="65B7CF13" w14:textId="77777777" w:rsidR="00333C4A" w:rsidRPr="00333C4A" w:rsidRDefault="00333C4A" w:rsidP="00333C4A">
      <w:pPr>
        <w:jc w:val="both"/>
        <w:rPr>
          <w:rFonts w:ascii="Century Gothic" w:hAnsi="Century Gothic" w:cs="Arial"/>
          <w:sz w:val="22"/>
          <w:szCs w:val="22"/>
          <w:highlight w:val="yellow"/>
          <w:lang w:val="es-CO"/>
        </w:rPr>
      </w:pPr>
    </w:p>
    <w:p w14:paraId="578FF8EC"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7º.</w:t>
      </w:r>
      <w:r w:rsidRPr="00333C4A">
        <w:rPr>
          <w:rFonts w:ascii="Century Gothic" w:hAnsi="Century Gothic" w:cs="Arial"/>
          <w:sz w:val="22"/>
          <w:szCs w:val="22"/>
          <w:lang w:val="es-CO"/>
        </w:rPr>
        <w:t xml:space="preserve"> Incluye las apropiaciones para la institución educativa y sus dependencias. Todos los actos administrativos que afecten las apropiaciones presupuéstales deberán contar con certificados de disponibilidad previos que garanticen la existencia de recursos para atender estos gastos.</w:t>
      </w:r>
    </w:p>
    <w:p w14:paraId="494D5A96"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sz w:val="22"/>
          <w:szCs w:val="22"/>
          <w:lang w:val="es-CO"/>
        </w:rPr>
        <w:t xml:space="preserve">De igual manera, estos compromisos deberán contar con registro presupuestal, para que los recursos con él financiados, no sean desviados a ningún otro fin. </w:t>
      </w:r>
    </w:p>
    <w:p w14:paraId="37991910"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sz w:val="22"/>
          <w:szCs w:val="22"/>
          <w:lang w:val="es-CO"/>
        </w:rPr>
        <w:t>Cualquier compromiso que se adquiera sin el lleno de estos requisitos creará responsabilidad personal y pecuniaria a cargo de quien asuma estas obligaciones.</w:t>
      </w:r>
    </w:p>
    <w:p w14:paraId="07635C39" w14:textId="77777777" w:rsidR="00333C4A" w:rsidRPr="00333C4A" w:rsidRDefault="00333C4A" w:rsidP="00333C4A">
      <w:pPr>
        <w:jc w:val="both"/>
        <w:rPr>
          <w:rFonts w:ascii="Century Gothic" w:hAnsi="Century Gothic" w:cs="Arial"/>
          <w:b/>
          <w:sz w:val="22"/>
          <w:szCs w:val="22"/>
          <w:highlight w:val="yellow"/>
          <w:lang w:val="es-CO"/>
        </w:rPr>
      </w:pPr>
    </w:p>
    <w:p w14:paraId="09D5AF48"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8°.</w:t>
      </w:r>
      <w:r w:rsidRPr="00333C4A">
        <w:rPr>
          <w:rFonts w:ascii="Century Gothic" w:hAnsi="Century Gothic" w:cs="Arial"/>
          <w:sz w:val="22"/>
          <w:szCs w:val="22"/>
          <w:lang w:val="es-CO"/>
        </w:rPr>
        <w:t xml:space="preserve"> En caso de aplicar a los Fondos de servicios educativos, el Catálogo de Clasificación Presupuestal para Entidades Territoriales y sus Descentralizadas CCPET, se realizará la homologación de códigos y nombres de los rubros de ingresos y gastos de acuerdo a las indicaciones de los Anexos 1 y 2 de la Resolución No. 1355 de 2020.</w:t>
      </w:r>
    </w:p>
    <w:p w14:paraId="65B215F3" w14:textId="77777777" w:rsidR="00333C4A" w:rsidRPr="00333C4A" w:rsidRDefault="00333C4A" w:rsidP="00333C4A">
      <w:pPr>
        <w:jc w:val="both"/>
        <w:rPr>
          <w:rFonts w:ascii="Century Gothic" w:hAnsi="Century Gothic" w:cs="Arial"/>
          <w:b/>
          <w:sz w:val="22"/>
          <w:szCs w:val="22"/>
          <w:highlight w:val="yellow"/>
          <w:lang w:val="es-CO"/>
        </w:rPr>
      </w:pPr>
    </w:p>
    <w:p w14:paraId="7C00FF57"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9°.</w:t>
      </w:r>
      <w:r w:rsidRPr="00333C4A">
        <w:rPr>
          <w:rFonts w:ascii="Century Gothic" w:hAnsi="Century Gothic" w:cs="Arial"/>
          <w:sz w:val="22"/>
          <w:szCs w:val="22"/>
          <w:lang w:val="es-CO"/>
        </w:rPr>
        <w:t xml:space="preserve"> Prohíbase tramitar o legalizar actos  administrativos u obligaciones que afecten el Presupuesto de Gastos cuando no reúnan los requisitos legales o se configuren como hechos cumplidos. </w:t>
      </w:r>
    </w:p>
    <w:p w14:paraId="4D50944E" w14:textId="77777777" w:rsidR="00333C4A" w:rsidRPr="00333C4A" w:rsidRDefault="00333C4A" w:rsidP="00333C4A">
      <w:pPr>
        <w:jc w:val="both"/>
        <w:rPr>
          <w:rFonts w:ascii="Century Gothic" w:hAnsi="Century Gothic" w:cs="Arial"/>
          <w:sz w:val="22"/>
          <w:szCs w:val="22"/>
          <w:highlight w:val="yellow"/>
          <w:lang w:val="es-CO"/>
        </w:rPr>
      </w:pPr>
    </w:p>
    <w:p w14:paraId="27565D2A"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DEL PROGRAMA ANUAL MENSUALIZADO DE CAJA -PAC-</w:t>
      </w:r>
    </w:p>
    <w:p w14:paraId="3740CC28" w14:textId="77777777" w:rsidR="00333C4A" w:rsidRPr="00333C4A" w:rsidRDefault="00333C4A" w:rsidP="00333C4A">
      <w:pPr>
        <w:jc w:val="both"/>
        <w:rPr>
          <w:rFonts w:ascii="Century Gothic" w:hAnsi="Century Gothic" w:cs="Arial"/>
          <w:sz w:val="22"/>
          <w:szCs w:val="22"/>
          <w:lang w:val="es-CO"/>
        </w:rPr>
      </w:pPr>
    </w:p>
    <w:p w14:paraId="4BE4E157"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10°.</w:t>
      </w:r>
      <w:r w:rsidRPr="00333C4A">
        <w:rPr>
          <w:rFonts w:ascii="Century Gothic" w:hAnsi="Century Gothic" w:cs="Arial"/>
          <w:sz w:val="22"/>
          <w:szCs w:val="22"/>
          <w:lang w:val="es-CO"/>
        </w:rPr>
        <w:t xml:space="preserve">  La ejecución de los gastos del Presupuesto General del establecimiento educativo se hará a través del Programa Anual </w:t>
      </w:r>
      <w:proofErr w:type="spellStart"/>
      <w:r w:rsidRPr="00333C4A">
        <w:rPr>
          <w:rFonts w:ascii="Century Gothic" w:hAnsi="Century Gothic" w:cs="Arial"/>
          <w:sz w:val="22"/>
          <w:szCs w:val="22"/>
          <w:lang w:val="es-CO"/>
        </w:rPr>
        <w:t>Mensualizado</w:t>
      </w:r>
      <w:proofErr w:type="spellEnd"/>
      <w:r w:rsidRPr="00333C4A">
        <w:rPr>
          <w:rFonts w:ascii="Century Gothic" w:hAnsi="Century Gothic" w:cs="Arial"/>
          <w:sz w:val="22"/>
          <w:szCs w:val="22"/>
          <w:lang w:val="es-CO"/>
        </w:rPr>
        <w:t xml:space="preserve"> de Caja -PAC-. Este es el instrumento mediante el cual se define el monto máximo mensual de fondos disponibles en la Tesorería Institucional y el monto máximo mensual de pagos que esta puede hacer, con el fin de cumplir los compromisos a cargo de la Administración.</w:t>
      </w:r>
    </w:p>
    <w:p w14:paraId="26A59309"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sz w:val="22"/>
          <w:szCs w:val="22"/>
          <w:lang w:val="es-CO"/>
        </w:rPr>
        <w:t xml:space="preserve">El Programa Anual </w:t>
      </w:r>
      <w:proofErr w:type="spellStart"/>
      <w:r w:rsidRPr="00333C4A">
        <w:rPr>
          <w:rFonts w:ascii="Century Gothic" w:hAnsi="Century Gothic" w:cs="Arial"/>
          <w:sz w:val="22"/>
          <w:szCs w:val="22"/>
          <w:lang w:val="es-CO"/>
        </w:rPr>
        <w:t>Mensualizado</w:t>
      </w:r>
      <w:proofErr w:type="spellEnd"/>
      <w:r w:rsidRPr="00333C4A">
        <w:rPr>
          <w:rFonts w:ascii="Century Gothic" w:hAnsi="Century Gothic" w:cs="Arial"/>
          <w:sz w:val="22"/>
          <w:szCs w:val="22"/>
          <w:lang w:val="es-CO"/>
        </w:rPr>
        <w:t xml:space="preserve"> de Caja está clasificado en la misma forma del Presupuesto teniendo en cuenta las metas financieras establecidas por el Consejo directivo. </w:t>
      </w:r>
    </w:p>
    <w:p w14:paraId="39067E3C"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sz w:val="22"/>
          <w:szCs w:val="22"/>
          <w:lang w:val="es-CO"/>
        </w:rPr>
        <w:t>El PAC correspondiente a las apropiaciones de la vigencia fiscal, tendrá como límite máximo el valor del presupuesto aprobado por el Consejo directivo.</w:t>
      </w:r>
    </w:p>
    <w:p w14:paraId="4925A5F4"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sz w:val="22"/>
          <w:szCs w:val="22"/>
          <w:lang w:val="es-CO"/>
        </w:rPr>
        <w:t xml:space="preserve">Las modificaciones al Programa Anual de Caja serán potestad del ordenador del gasto y se efectuarán conforme a la necesidad de ajuste. </w:t>
      </w:r>
    </w:p>
    <w:p w14:paraId="445C5988" w14:textId="77777777" w:rsidR="00333C4A" w:rsidRPr="00333C4A" w:rsidRDefault="00333C4A" w:rsidP="00333C4A">
      <w:pPr>
        <w:jc w:val="both"/>
        <w:rPr>
          <w:rFonts w:ascii="Century Gothic" w:hAnsi="Century Gothic" w:cs="Arial"/>
          <w:b/>
          <w:sz w:val="22"/>
          <w:szCs w:val="22"/>
          <w:highlight w:val="yellow"/>
          <w:lang w:val="es-CO"/>
        </w:rPr>
      </w:pPr>
    </w:p>
    <w:p w14:paraId="25E392B8"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11°.</w:t>
      </w:r>
      <w:r w:rsidRPr="00333C4A">
        <w:rPr>
          <w:rFonts w:ascii="Century Gothic" w:hAnsi="Century Gothic" w:cs="Arial"/>
          <w:sz w:val="22"/>
          <w:szCs w:val="22"/>
          <w:lang w:val="es-CO"/>
        </w:rPr>
        <w:t xml:space="preserve">  La Tesorería sólo podrá transferir recursos de la institución a través de las cuentas registradas. Los rendimientos  generados, cualesquiera que sean las  fuentes que los producen, deberán ser apropiados en el presupuesto con el fin de satisfacer las necesidades de gasto público.</w:t>
      </w:r>
    </w:p>
    <w:p w14:paraId="26806E4B" w14:textId="77777777" w:rsidR="00333C4A" w:rsidRPr="00333C4A" w:rsidRDefault="00333C4A" w:rsidP="00333C4A">
      <w:pPr>
        <w:jc w:val="both"/>
        <w:rPr>
          <w:rFonts w:ascii="Century Gothic" w:hAnsi="Century Gothic" w:cs="Arial"/>
          <w:sz w:val="22"/>
          <w:szCs w:val="22"/>
          <w:highlight w:val="yellow"/>
          <w:lang w:val="es-CO"/>
        </w:rPr>
      </w:pPr>
    </w:p>
    <w:p w14:paraId="2813F7BB"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DE LAS CUENTAS POR PAGAR</w:t>
      </w:r>
    </w:p>
    <w:p w14:paraId="21139B86" w14:textId="77777777" w:rsidR="00333C4A" w:rsidRPr="00333C4A" w:rsidRDefault="00333C4A" w:rsidP="00333C4A">
      <w:pPr>
        <w:jc w:val="both"/>
        <w:rPr>
          <w:rFonts w:ascii="Century Gothic" w:hAnsi="Century Gothic" w:cs="Arial"/>
          <w:sz w:val="22"/>
          <w:szCs w:val="22"/>
          <w:lang w:val="es-CO"/>
        </w:rPr>
      </w:pPr>
    </w:p>
    <w:p w14:paraId="08422E50"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12°.</w:t>
      </w:r>
      <w:r w:rsidRPr="00333C4A">
        <w:rPr>
          <w:rFonts w:ascii="Century Gothic" w:hAnsi="Century Gothic" w:cs="Arial"/>
          <w:sz w:val="22"/>
          <w:szCs w:val="22"/>
          <w:lang w:val="es-CO"/>
        </w:rPr>
        <w:t xml:space="preserve">  El monto que se determine como cuenta por pagar será causado contablemente y constituido como compromiso por el ordenador del gasto y lo podrá ejecutar desde el momento en que la Tesorería reciba la relación de los compromisos en que se basa la obligación. La presentación de la relación de los compromisos Presupuéstales se hará por conducto del ordenador del gasto a la Tesorería antes del 15 de enero de la siguiente vigencia. Sólo podrán incluirse en los compromisos presupuéstales las obligaciones legalmente contraídas.</w:t>
      </w:r>
    </w:p>
    <w:p w14:paraId="6DF7633D" w14:textId="77777777" w:rsidR="00333C4A" w:rsidRPr="00333C4A" w:rsidRDefault="00333C4A" w:rsidP="00333C4A">
      <w:pPr>
        <w:jc w:val="both"/>
        <w:rPr>
          <w:rFonts w:ascii="Century Gothic" w:hAnsi="Century Gothic" w:cs="Arial"/>
          <w:b/>
          <w:sz w:val="22"/>
          <w:szCs w:val="22"/>
          <w:highlight w:val="yellow"/>
          <w:lang w:val="es-CO"/>
        </w:rPr>
      </w:pPr>
    </w:p>
    <w:p w14:paraId="46A7137F"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13°.</w:t>
      </w:r>
      <w:r w:rsidRPr="00333C4A">
        <w:rPr>
          <w:rFonts w:ascii="Century Gothic" w:hAnsi="Century Gothic" w:cs="Arial"/>
          <w:sz w:val="22"/>
          <w:szCs w:val="22"/>
          <w:lang w:val="es-CO"/>
        </w:rPr>
        <w:t xml:space="preserve">   Los compromisos presupuéstales constituidos por el órgano que conforma el Presupuesto General del establecimiento correspondientes a la vigencia anterior, que no hubiesen sido ejecutadas a 31 de diciembre de 2021, expirarán sin excepción y se cancelarán por desaparecer el compromiso que las originó, se elaborará un acta suscrita por el ordenador del gasto y se comunicará a la Tesorería para el ajuste respectivo en el PAC. </w:t>
      </w:r>
    </w:p>
    <w:p w14:paraId="12A3BE30" w14:textId="77777777" w:rsidR="00333C4A" w:rsidRPr="00333C4A" w:rsidRDefault="00333C4A" w:rsidP="00333C4A">
      <w:pPr>
        <w:jc w:val="center"/>
        <w:rPr>
          <w:rFonts w:ascii="Century Gothic" w:hAnsi="Century Gothic" w:cs="Arial"/>
          <w:b/>
          <w:sz w:val="22"/>
          <w:szCs w:val="22"/>
          <w:highlight w:val="yellow"/>
          <w:lang w:val="es-CO"/>
        </w:rPr>
      </w:pPr>
    </w:p>
    <w:p w14:paraId="2EC4031E" w14:textId="77777777" w:rsidR="00333C4A" w:rsidRPr="00333C4A" w:rsidRDefault="00333C4A" w:rsidP="00333C4A">
      <w:pPr>
        <w:jc w:val="center"/>
        <w:rPr>
          <w:rFonts w:ascii="Century Gothic" w:hAnsi="Century Gothic" w:cs="Arial"/>
          <w:b/>
          <w:sz w:val="22"/>
          <w:szCs w:val="22"/>
          <w:highlight w:val="yellow"/>
          <w:lang w:val="es-CO"/>
        </w:rPr>
      </w:pPr>
    </w:p>
    <w:p w14:paraId="30B85AE9" w14:textId="77777777" w:rsidR="00333C4A" w:rsidRPr="00333C4A" w:rsidRDefault="00333C4A" w:rsidP="00333C4A">
      <w:pPr>
        <w:jc w:val="center"/>
        <w:rPr>
          <w:rFonts w:ascii="Century Gothic" w:hAnsi="Century Gothic" w:cs="Arial"/>
          <w:b/>
          <w:sz w:val="22"/>
          <w:szCs w:val="22"/>
          <w:lang w:val="es-CO"/>
        </w:rPr>
      </w:pPr>
      <w:r w:rsidRPr="00333C4A">
        <w:rPr>
          <w:rFonts w:ascii="Century Gothic" w:hAnsi="Century Gothic" w:cs="Arial"/>
          <w:b/>
          <w:sz w:val="22"/>
          <w:szCs w:val="22"/>
          <w:lang w:val="es-CO"/>
        </w:rPr>
        <w:t>DISPOSICIONES VARIAS</w:t>
      </w:r>
    </w:p>
    <w:p w14:paraId="2B845B49" w14:textId="77777777" w:rsidR="00333C4A" w:rsidRPr="00333C4A" w:rsidRDefault="00333C4A" w:rsidP="00333C4A">
      <w:pPr>
        <w:jc w:val="both"/>
        <w:rPr>
          <w:rFonts w:ascii="Century Gothic" w:hAnsi="Century Gothic" w:cs="Arial"/>
          <w:sz w:val="22"/>
          <w:szCs w:val="22"/>
          <w:lang w:val="es-CO"/>
        </w:rPr>
      </w:pPr>
    </w:p>
    <w:p w14:paraId="0FAED3AB"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ARTÍCULO 14°</w:t>
      </w:r>
      <w:r w:rsidRPr="00333C4A">
        <w:rPr>
          <w:rFonts w:ascii="Century Gothic" w:hAnsi="Century Gothic" w:cs="Arial"/>
          <w:sz w:val="22"/>
          <w:szCs w:val="22"/>
          <w:lang w:val="es-CO"/>
        </w:rPr>
        <w:t xml:space="preserve">.  El Rector de oficio o a petición del jefe del órgano respectivo hará por resolución las aclaraciones y correcciones de leyenda necesarias para </w:t>
      </w:r>
      <w:r w:rsidRPr="00333C4A">
        <w:rPr>
          <w:rFonts w:ascii="Century Gothic" w:hAnsi="Century Gothic" w:cs="Arial"/>
          <w:sz w:val="22"/>
          <w:szCs w:val="22"/>
          <w:lang w:val="es-CO"/>
        </w:rPr>
        <w:lastRenderedPageBreak/>
        <w:t>enmendar los errores de transcripción y aritméticos que figuren en el Presupuesto General del Establecimiento para la vigencia fiscal de 2021. Lo anterior, no implica cambio en la Leyenda del rubro presupuestal ni en su objeto y cuantía, con excepción de lo citado en el artículo 8 del presente acuerdo.</w:t>
      </w:r>
    </w:p>
    <w:p w14:paraId="40FAF9EC" w14:textId="77777777" w:rsidR="00333C4A" w:rsidRPr="00333C4A" w:rsidRDefault="00333C4A" w:rsidP="00333C4A">
      <w:pPr>
        <w:jc w:val="both"/>
        <w:rPr>
          <w:rFonts w:ascii="Century Gothic" w:hAnsi="Century Gothic" w:cs="Arial"/>
          <w:b/>
          <w:sz w:val="22"/>
          <w:szCs w:val="22"/>
          <w:lang w:val="es-CO"/>
        </w:rPr>
      </w:pPr>
    </w:p>
    <w:p w14:paraId="7752B26A"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15°.</w:t>
      </w:r>
      <w:r w:rsidRPr="00333C4A">
        <w:rPr>
          <w:rFonts w:ascii="Century Gothic" w:hAnsi="Century Gothic" w:cs="Arial"/>
          <w:sz w:val="22"/>
          <w:szCs w:val="22"/>
          <w:lang w:val="es-CO"/>
        </w:rPr>
        <w:t xml:space="preserve">  La institución Educativa que origina el Presupuesto General del Ente deberá llevar el registro y el control de la ejecución presupuestal. La Contraloría Municipal o quien haga sus veces, ejercerá el control fiscal que le corresponda en los términos de la Ley 42 de 1993.</w:t>
      </w:r>
    </w:p>
    <w:p w14:paraId="3A938AFD" w14:textId="77777777" w:rsidR="00333C4A" w:rsidRPr="00333C4A" w:rsidRDefault="00333C4A" w:rsidP="00333C4A">
      <w:pPr>
        <w:jc w:val="both"/>
        <w:rPr>
          <w:rFonts w:ascii="Century Gothic" w:hAnsi="Century Gothic" w:cs="Arial"/>
          <w:sz w:val="22"/>
          <w:szCs w:val="22"/>
          <w:lang w:val="es-CO"/>
        </w:rPr>
      </w:pPr>
    </w:p>
    <w:p w14:paraId="4947D6C3" w14:textId="77777777" w:rsidR="00333C4A" w:rsidRPr="00333C4A" w:rsidRDefault="00333C4A" w:rsidP="00333C4A">
      <w:pPr>
        <w:jc w:val="both"/>
        <w:rPr>
          <w:rFonts w:ascii="Century Gothic" w:hAnsi="Century Gothic" w:cs="Arial"/>
          <w:sz w:val="22"/>
          <w:szCs w:val="22"/>
          <w:lang w:val="es-CO"/>
        </w:rPr>
      </w:pPr>
      <w:r w:rsidRPr="00333C4A">
        <w:rPr>
          <w:rFonts w:ascii="Century Gothic" w:hAnsi="Century Gothic" w:cs="Arial"/>
          <w:b/>
          <w:sz w:val="22"/>
          <w:szCs w:val="22"/>
          <w:lang w:val="es-CO"/>
        </w:rPr>
        <w:t>ARTICULO 16°</w:t>
      </w:r>
      <w:r w:rsidRPr="00333C4A">
        <w:rPr>
          <w:rFonts w:ascii="Century Gothic" w:hAnsi="Century Gothic" w:cs="Arial"/>
          <w:sz w:val="22"/>
          <w:szCs w:val="22"/>
          <w:lang w:val="es-CO"/>
        </w:rPr>
        <w:t>. El presente acuerdo rige a partir del 01 de enero al 31 de diciembre de 2021, previa liquidación por parte de la Rectoría del Fondo de Servicios Educativos de la Institución Educativa</w:t>
      </w:r>
    </w:p>
    <w:p w14:paraId="6406E249" w14:textId="77777777" w:rsidR="00333C4A" w:rsidRPr="00333C4A" w:rsidRDefault="00333C4A" w:rsidP="00333C4A">
      <w:pPr>
        <w:jc w:val="both"/>
        <w:rPr>
          <w:rFonts w:ascii="Century Gothic" w:hAnsi="Century Gothic" w:cs="Arial"/>
          <w:sz w:val="22"/>
          <w:szCs w:val="22"/>
          <w:highlight w:val="yellow"/>
        </w:rPr>
      </w:pPr>
    </w:p>
    <w:p w14:paraId="7723F67D" w14:textId="38079656" w:rsidR="00333C4A" w:rsidRPr="00333C4A" w:rsidRDefault="00333C4A" w:rsidP="00333C4A">
      <w:pPr>
        <w:rPr>
          <w:rFonts w:ascii="Century Gothic" w:hAnsi="Century Gothic" w:cs="Arial"/>
          <w:sz w:val="22"/>
          <w:szCs w:val="22"/>
        </w:rPr>
      </w:pPr>
      <w:r w:rsidRPr="00333C4A">
        <w:rPr>
          <w:rFonts w:ascii="Century Gothic" w:hAnsi="Century Gothic" w:cs="Arial"/>
          <w:sz w:val="22"/>
          <w:szCs w:val="22"/>
        </w:rPr>
        <w:t xml:space="preserve">Dado  en la INSTITUCION </w:t>
      </w:r>
      <w:r w:rsidR="00B07A14" w:rsidRPr="00333C4A">
        <w:rPr>
          <w:rFonts w:ascii="Century Gothic" w:hAnsi="Century Gothic" w:cs="Arial"/>
          <w:sz w:val="22"/>
          <w:szCs w:val="22"/>
        </w:rPr>
        <w:t xml:space="preserve">EDUCATIVA </w:t>
      </w:r>
      <w:r w:rsidR="00B07A14">
        <w:rPr>
          <w:rFonts w:ascii="Century Gothic" w:hAnsi="Century Gothic" w:cs="Arial"/>
          <w:sz w:val="22"/>
          <w:szCs w:val="22"/>
        </w:rPr>
        <w:t>RAÍCES DEL FUTURO</w:t>
      </w:r>
      <w:r w:rsidR="00B07A14" w:rsidRPr="00333C4A">
        <w:rPr>
          <w:rFonts w:ascii="Century Gothic" w:hAnsi="Century Gothic" w:cs="Arial"/>
          <w:sz w:val="22"/>
          <w:szCs w:val="22"/>
        </w:rPr>
        <w:t xml:space="preserve"> </w:t>
      </w:r>
      <w:r w:rsidRPr="00333C4A">
        <w:rPr>
          <w:rFonts w:ascii="Century Gothic" w:hAnsi="Century Gothic" w:cs="Arial"/>
          <w:sz w:val="22"/>
          <w:szCs w:val="22"/>
        </w:rPr>
        <w:t xml:space="preserve">de Ibagué, a los </w:t>
      </w:r>
      <w:r w:rsidR="00820D44">
        <w:rPr>
          <w:rFonts w:ascii="Century Gothic" w:hAnsi="Century Gothic" w:cs="Arial"/>
          <w:sz w:val="22"/>
          <w:szCs w:val="22"/>
        </w:rPr>
        <w:t>30</w:t>
      </w:r>
      <w:r w:rsidRPr="00333C4A">
        <w:rPr>
          <w:rFonts w:ascii="Century Gothic" w:hAnsi="Century Gothic" w:cs="Arial"/>
          <w:sz w:val="22"/>
          <w:szCs w:val="22"/>
        </w:rPr>
        <w:t xml:space="preserve"> días del mes de Noviembre de 2020.</w:t>
      </w:r>
    </w:p>
    <w:p w14:paraId="39B40FCC" w14:textId="77777777" w:rsidR="00333C4A" w:rsidRPr="00333C4A" w:rsidRDefault="00333C4A" w:rsidP="00333C4A">
      <w:pPr>
        <w:jc w:val="both"/>
        <w:rPr>
          <w:rFonts w:ascii="Century Gothic" w:hAnsi="Century Gothic" w:cs="Arial"/>
          <w:b/>
          <w:sz w:val="22"/>
          <w:szCs w:val="22"/>
          <w:highlight w:val="yellow"/>
        </w:rPr>
      </w:pPr>
    </w:p>
    <w:p w14:paraId="4BCEDEA6" w14:textId="77777777" w:rsidR="00333C4A" w:rsidRPr="00333C4A" w:rsidRDefault="00333C4A" w:rsidP="00333C4A">
      <w:pPr>
        <w:pStyle w:val="Ttulo"/>
        <w:tabs>
          <w:tab w:val="center" w:pos="2127"/>
          <w:tab w:val="center" w:pos="7513"/>
        </w:tabs>
        <w:rPr>
          <w:rFonts w:ascii="Century Gothic" w:hAnsi="Century Gothic" w:cs="Arial"/>
          <w:sz w:val="22"/>
          <w:szCs w:val="22"/>
        </w:rPr>
      </w:pPr>
      <w:r w:rsidRPr="00333C4A">
        <w:rPr>
          <w:rFonts w:ascii="Century Gothic" w:hAnsi="Century Gothic" w:cs="Arial"/>
          <w:sz w:val="22"/>
          <w:szCs w:val="22"/>
        </w:rPr>
        <w:t xml:space="preserve">EN CONSTANCIA FIRMAN </w:t>
      </w:r>
    </w:p>
    <w:p w14:paraId="395F56A5" w14:textId="77777777" w:rsidR="003B74EB" w:rsidRPr="00333C4A" w:rsidRDefault="003B74EB" w:rsidP="002F0391">
      <w:pPr>
        <w:pStyle w:val="Ttulo"/>
        <w:tabs>
          <w:tab w:val="center" w:pos="2127"/>
          <w:tab w:val="center" w:pos="7513"/>
        </w:tabs>
        <w:rPr>
          <w:rFonts w:ascii="Century Gothic" w:hAnsi="Century Gothic" w:cstheme="minorHAnsi"/>
          <w:sz w:val="22"/>
          <w:szCs w:val="22"/>
        </w:rPr>
      </w:pPr>
    </w:p>
    <w:p w14:paraId="3BBF3D0A" w14:textId="77777777" w:rsidR="00FB5F4F" w:rsidRDefault="00236406" w:rsidP="00236406">
      <w:pPr>
        <w:pStyle w:val="Ttulo"/>
        <w:tabs>
          <w:tab w:val="center" w:pos="2127"/>
          <w:tab w:val="left" w:pos="3795"/>
          <w:tab w:val="center" w:pos="7513"/>
        </w:tabs>
        <w:jc w:val="left"/>
        <w:rPr>
          <w:rFonts w:ascii="Century Gothic" w:hAnsi="Century Gothic" w:cstheme="minorHAnsi"/>
          <w:sz w:val="22"/>
          <w:szCs w:val="22"/>
        </w:rPr>
      </w:pPr>
      <w:r w:rsidRPr="00333C4A">
        <w:rPr>
          <w:rFonts w:ascii="Century Gothic" w:hAnsi="Century Gothic" w:cstheme="minorHAnsi"/>
          <w:sz w:val="22"/>
          <w:szCs w:val="22"/>
        </w:rPr>
        <w:tab/>
      </w:r>
    </w:p>
    <w:p w14:paraId="2B202020" w14:textId="77777777" w:rsidR="00FB5F4F" w:rsidRDefault="00FB5F4F" w:rsidP="00236406">
      <w:pPr>
        <w:pStyle w:val="Ttulo"/>
        <w:tabs>
          <w:tab w:val="center" w:pos="2127"/>
          <w:tab w:val="left" w:pos="3795"/>
          <w:tab w:val="center" w:pos="7513"/>
        </w:tabs>
        <w:jc w:val="left"/>
        <w:rPr>
          <w:rFonts w:ascii="Century Gothic" w:hAnsi="Century Gothic" w:cstheme="minorHAnsi"/>
          <w:sz w:val="22"/>
          <w:szCs w:val="22"/>
        </w:rPr>
      </w:pPr>
    </w:p>
    <w:p w14:paraId="198BD1A2" w14:textId="0AB4BFFA" w:rsidR="00236406" w:rsidRPr="00333C4A" w:rsidRDefault="00236406" w:rsidP="00236406">
      <w:pPr>
        <w:pStyle w:val="Ttulo"/>
        <w:tabs>
          <w:tab w:val="center" w:pos="2127"/>
          <w:tab w:val="left" w:pos="3795"/>
          <w:tab w:val="center" w:pos="7513"/>
        </w:tabs>
        <w:jc w:val="left"/>
        <w:rPr>
          <w:rFonts w:ascii="Century Gothic" w:hAnsi="Century Gothic" w:cstheme="minorHAnsi"/>
          <w:b w:val="0"/>
          <w:sz w:val="22"/>
          <w:szCs w:val="22"/>
        </w:rPr>
      </w:pPr>
    </w:p>
    <w:p w14:paraId="23F5F797" w14:textId="77777777" w:rsidR="00236406" w:rsidRPr="00333C4A" w:rsidRDefault="00236406" w:rsidP="00236406">
      <w:pPr>
        <w:jc w:val="center"/>
        <w:rPr>
          <w:rFonts w:ascii="Century Gothic" w:hAnsi="Century Gothic" w:cstheme="minorHAnsi"/>
          <w:b/>
          <w:sz w:val="22"/>
          <w:szCs w:val="22"/>
        </w:rPr>
      </w:pPr>
    </w:p>
    <w:p w14:paraId="4A00D8BC" w14:textId="76C501F8" w:rsidR="00820D44" w:rsidRPr="00251859" w:rsidRDefault="00820D44" w:rsidP="00820D44">
      <w:pPr>
        <w:jc w:val="both"/>
        <w:rPr>
          <w:rFonts w:ascii="Century Gothic" w:hAnsi="Century Gothic" w:cs="Arial"/>
        </w:rPr>
      </w:pPr>
      <w:r w:rsidRPr="00251859">
        <w:rPr>
          <w:rFonts w:ascii="Century Gothic" w:hAnsi="Century Gothic" w:cs="Arial"/>
        </w:rPr>
        <w:t>ORLA</w:t>
      </w:r>
      <w:r>
        <w:rPr>
          <w:rFonts w:ascii="Century Gothic" w:hAnsi="Century Gothic" w:cs="Arial"/>
        </w:rPr>
        <w:t>NDO OLIVERA MORALES</w:t>
      </w:r>
      <w:r>
        <w:rPr>
          <w:rFonts w:ascii="Century Gothic" w:hAnsi="Century Gothic" w:cs="Arial"/>
        </w:rPr>
        <w:tab/>
      </w:r>
      <w:r>
        <w:rPr>
          <w:rFonts w:ascii="Century Gothic" w:hAnsi="Century Gothic" w:cs="Arial"/>
        </w:rPr>
        <w:tab/>
        <w:t xml:space="preserve">          </w:t>
      </w:r>
      <w:r w:rsidRPr="00251859">
        <w:rPr>
          <w:rFonts w:ascii="Century Gothic" w:hAnsi="Century Gothic" w:cs="Arial"/>
        </w:rPr>
        <w:t xml:space="preserve"> GLORIA D</w:t>
      </w:r>
      <w:r>
        <w:rPr>
          <w:rFonts w:ascii="Century Gothic" w:hAnsi="Century Gothic" w:cs="Arial"/>
        </w:rPr>
        <w:t>ÍAZ</w:t>
      </w:r>
      <w:r w:rsidRPr="00251859">
        <w:rPr>
          <w:rFonts w:ascii="Century Gothic" w:hAnsi="Century Gothic" w:cs="Arial"/>
        </w:rPr>
        <w:t xml:space="preserve"> PARRA</w:t>
      </w:r>
    </w:p>
    <w:p w14:paraId="1D878ACD" w14:textId="77777777" w:rsidR="00820D44" w:rsidRDefault="00820D44" w:rsidP="00820D44">
      <w:pPr>
        <w:jc w:val="both"/>
        <w:rPr>
          <w:rFonts w:ascii="Century Gothic" w:hAnsi="Century Gothic" w:cs="Arial"/>
        </w:rPr>
      </w:pPr>
      <w:r w:rsidRPr="00251859">
        <w:rPr>
          <w:rFonts w:ascii="Century Gothic" w:hAnsi="Century Gothic" w:cs="Arial"/>
        </w:rPr>
        <w:t>Rector</w:t>
      </w:r>
      <w:r w:rsidRPr="00251859">
        <w:rPr>
          <w:rFonts w:ascii="Century Gothic" w:hAnsi="Century Gothic" w:cs="Arial"/>
        </w:rPr>
        <w:tab/>
      </w:r>
      <w:r>
        <w:rPr>
          <w:rFonts w:ascii="Century Gothic" w:hAnsi="Century Gothic" w:cs="Arial"/>
        </w:rPr>
        <w:t xml:space="preserve">                                                                      Docente</w:t>
      </w:r>
    </w:p>
    <w:p w14:paraId="307F902E" w14:textId="77777777" w:rsidR="00820D44" w:rsidRDefault="00820D44" w:rsidP="00820D44">
      <w:pPr>
        <w:jc w:val="both"/>
        <w:rPr>
          <w:rFonts w:ascii="Century Gothic" w:hAnsi="Century Gothic" w:cs="Arial"/>
        </w:rPr>
      </w:pPr>
    </w:p>
    <w:p w14:paraId="28CB1273" w14:textId="77777777" w:rsidR="00820D44" w:rsidRDefault="00820D44" w:rsidP="00820D44">
      <w:pPr>
        <w:jc w:val="both"/>
        <w:rPr>
          <w:rFonts w:ascii="Century Gothic" w:hAnsi="Century Gothic" w:cs="Arial"/>
        </w:rPr>
      </w:pPr>
    </w:p>
    <w:p w14:paraId="49C1AA00" w14:textId="77777777" w:rsidR="00820D44" w:rsidRDefault="00820D44" w:rsidP="00820D44">
      <w:pPr>
        <w:jc w:val="both"/>
        <w:rPr>
          <w:rFonts w:ascii="Century Gothic" w:hAnsi="Century Gothic" w:cs="Arial"/>
        </w:rPr>
      </w:pPr>
      <w:bookmarkStart w:id="0" w:name="_GoBack"/>
      <w:bookmarkEnd w:id="0"/>
    </w:p>
    <w:p w14:paraId="73E4A087" w14:textId="77777777" w:rsidR="00820D44" w:rsidRPr="00251859" w:rsidRDefault="00820D44" w:rsidP="00820D44">
      <w:pPr>
        <w:jc w:val="both"/>
        <w:rPr>
          <w:rFonts w:ascii="Century Gothic" w:hAnsi="Century Gothic" w:cs="Arial"/>
        </w:rPr>
      </w:pP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p>
    <w:p w14:paraId="24EF54E1" w14:textId="25A390AD" w:rsidR="00820D44" w:rsidRPr="00251859" w:rsidRDefault="00820D44" w:rsidP="00820D44">
      <w:pPr>
        <w:jc w:val="both"/>
        <w:rPr>
          <w:rFonts w:ascii="Century Gothic" w:hAnsi="Century Gothic" w:cs="Arial"/>
        </w:rPr>
      </w:pPr>
      <w:r w:rsidRPr="00251859">
        <w:rPr>
          <w:rFonts w:ascii="Century Gothic" w:hAnsi="Century Gothic" w:cs="Arial"/>
        </w:rPr>
        <w:t>JUAN SEBASTIAN ZAMBRANO</w:t>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Pr>
          <w:rFonts w:ascii="Century Gothic" w:hAnsi="Century Gothic" w:cs="Arial"/>
        </w:rPr>
        <w:t xml:space="preserve">           </w:t>
      </w:r>
      <w:r w:rsidRPr="00251859">
        <w:rPr>
          <w:rFonts w:ascii="Century Gothic" w:hAnsi="Century Gothic" w:cs="Arial"/>
        </w:rPr>
        <w:t>CARMELO JOS</w:t>
      </w:r>
      <w:r>
        <w:rPr>
          <w:rFonts w:ascii="Century Gothic" w:hAnsi="Century Gothic" w:cs="Arial"/>
        </w:rPr>
        <w:t>É</w:t>
      </w:r>
      <w:r w:rsidRPr="00251859">
        <w:rPr>
          <w:rFonts w:ascii="Century Gothic" w:hAnsi="Century Gothic" w:cs="Arial"/>
        </w:rPr>
        <w:t xml:space="preserve"> SALCEDO CUELLO</w:t>
      </w:r>
    </w:p>
    <w:p w14:paraId="0C97FCB4" w14:textId="77777777" w:rsidR="00820D44" w:rsidRPr="00251859" w:rsidRDefault="00820D44" w:rsidP="00820D44">
      <w:pPr>
        <w:jc w:val="both"/>
        <w:rPr>
          <w:rFonts w:ascii="Century Gothic" w:hAnsi="Century Gothic" w:cs="Arial"/>
        </w:rPr>
      </w:pPr>
      <w:r w:rsidRPr="00251859">
        <w:rPr>
          <w:rFonts w:ascii="Century Gothic" w:hAnsi="Century Gothic" w:cs="Arial"/>
        </w:rPr>
        <w:t>Docente</w:t>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r>
      <w:r w:rsidRPr="00251859">
        <w:rPr>
          <w:rFonts w:ascii="Century Gothic" w:hAnsi="Century Gothic" w:cs="Arial"/>
        </w:rPr>
        <w:tab/>
        <w:t>Padre de Familia</w:t>
      </w:r>
    </w:p>
    <w:p w14:paraId="3DC64B60" w14:textId="77777777" w:rsidR="00820D44" w:rsidRDefault="00820D44" w:rsidP="00820D44">
      <w:pPr>
        <w:tabs>
          <w:tab w:val="left" w:pos="5130"/>
        </w:tabs>
        <w:jc w:val="both"/>
        <w:rPr>
          <w:rFonts w:ascii="Century Gothic" w:hAnsi="Century Gothic" w:cs="Arial"/>
        </w:rPr>
      </w:pPr>
    </w:p>
    <w:p w14:paraId="118F822C" w14:textId="77777777" w:rsidR="00820D44" w:rsidRDefault="00820D44" w:rsidP="00820D44">
      <w:pPr>
        <w:tabs>
          <w:tab w:val="left" w:pos="5130"/>
        </w:tabs>
        <w:jc w:val="both"/>
        <w:rPr>
          <w:rFonts w:ascii="Century Gothic" w:hAnsi="Century Gothic" w:cs="Arial"/>
        </w:rPr>
      </w:pPr>
    </w:p>
    <w:p w14:paraId="7B466E60" w14:textId="77777777" w:rsidR="00820D44" w:rsidRDefault="00820D44" w:rsidP="00820D44">
      <w:pPr>
        <w:tabs>
          <w:tab w:val="left" w:pos="5130"/>
        </w:tabs>
        <w:jc w:val="both"/>
        <w:rPr>
          <w:rFonts w:ascii="Century Gothic" w:hAnsi="Century Gothic" w:cs="Arial"/>
        </w:rPr>
      </w:pPr>
    </w:p>
    <w:p w14:paraId="43AA34B7" w14:textId="77777777" w:rsidR="00FB5F4F" w:rsidRDefault="00FB5F4F" w:rsidP="00820D44">
      <w:pPr>
        <w:tabs>
          <w:tab w:val="left" w:pos="5130"/>
        </w:tabs>
        <w:jc w:val="both"/>
        <w:rPr>
          <w:rFonts w:ascii="Century Gothic" w:hAnsi="Century Gothic" w:cs="Arial"/>
        </w:rPr>
      </w:pPr>
    </w:p>
    <w:p w14:paraId="5805442C" w14:textId="77777777" w:rsidR="00820D44" w:rsidRPr="00251859" w:rsidRDefault="00820D44" w:rsidP="00820D44">
      <w:pPr>
        <w:tabs>
          <w:tab w:val="left" w:pos="5130"/>
        </w:tabs>
        <w:jc w:val="both"/>
        <w:rPr>
          <w:rFonts w:ascii="Century Gothic" w:hAnsi="Century Gothic" w:cs="Arial"/>
        </w:rPr>
      </w:pPr>
      <w:r w:rsidRPr="00251859">
        <w:rPr>
          <w:rFonts w:ascii="Century Gothic" w:hAnsi="Century Gothic" w:cs="Arial"/>
        </w:rPr>
        <w:t>ESMERALDA LUCI</w:t>
      </w:r>
      <w:r>
        <w:rPr>
          <w:rFonts w:ascii="Century Gothic" w:hAnsi="Century Gothic" w:cs="Arial"/>
        </w:rPr>
        <w:t xml:space="preserve">LA </w:t>
      </w:r>
      <w:r w:rsidRPr="00251859">
        <w:rPr>
          <w:rFonts w:ascii="Century Gothic" w:hAnsi="Century Gothic" w:cs="Arial"/>
        </w:rPr>
        <w:t xml:space="preserve">ROJAS                                  </w:t>
      </w:r>
    </w:p>
    <w:p w14:paraId="5D152A05" w14:textId="77777777" w:rsidR="00820D44" w:rsidRDefault="00820D44" w:rsidP="00820D44">
      <w:pPr>
        <w:jc w:val="both"/>
        <w:rPr>
          <w:rFonts w:ascii="Century Gothic" w:hAnsi="Century Gothic" w:cs="Arial"/>
        </w:rPr>
      </w:pPr>
      <w:r w:rsidRPr="00251859">
        <w:rPr>
          <w:rFonts w:ascii="Century Gothic" w:hAnsi="Century Gothic" w:cs="Arial"/>
        </w:rPr>
        <w:t>Padre de Familia</w:t>
      </w:r>
      <w:r w:rsidRPr="00251859">
        <w:rPr>
          <w:rFonts w:ascii="Century Gothic" w:hAnsi="Century Gothic" w:cs="Arial"/>
        </w:rPr>
        <w:tab/>
      </w:r>
    </w:p>
    <w:p w14:paraId="0FF9DA16" w14:textId="77777777" w:rsidR="00820D44" w:rsidRDefault="00820D44" w:rsidP="00820D44">
      <w:pPr>
        <w:jc w:val="both"/>
        <w:rPr>
          <w:rFonts w:ascii="Century Gothic" w:hAnsi="Century Gothic" w:cs="Arial"/>
        </w:rPr>
      </w:pPr>
    </w:p>
    <w:p w14:paraId="73B53B66" w14:textId="77777777" w:rsidR="00FB5F4F" w:rsidRDefault="00FB5F4F" w:rsidP="00820D44">
      <w:pPr>
        <w:jc w:val="both"/>
        <w:rPr>
          <w:rFonts w:ascii="Century Gothic" w:hAnsi="Century Gothic" w:cs="Arial"/>
        </w:rPr>
      </w:pPr>
    </w:p>
    <w:p w14:paraId="498194E5" w14:textId="5D5462FD" w:rsidR="00820D44" w:rsidRDefault="00820D44" w:rsidP="00820D44">
      <w:pPr>
        <w:jc w:val="both"/>
        <w:rPr>
          <w:rFonts w:ascii="Century Gothic" w:hAnsi="Century Gothic" w:cs="Arial"/>
        </w:rPr>
      </w:pPr>
      <w:r w:rsidRPr="00251859">
        <w:rPr>
          <w:rFonts w:ascii="Century Gothic" w:hAnsi="Century Gothic" w:cs="Arial"/>
        </w:rPr>
        <w:tab/>
      </w:r>
      <w:r>
        <w:rPr>
          <w:rFonts w:ascii="Century Gothic" w:hAnsi="Century Gothic" w:cs="Arial"/>
        </w:rPr>
        <w:t xml:space="preserve"> </w:t>
      </w:r>
    </w:p>
    <w:p w14:paraId="7F30306A" w14:textId="0B39F6E7" w:rsidR="00820D44" w:rsidRPr="00251859" w:rsidRDefault="00820D44" w:rsidP="00820D44">
      <w:pPr>
        <w:jc w:val="both"/>
        <w:rPr>
          <w:rFonts w:ascii="Century Gothic" w:hAnsi="Century Gothic" w:cs="Arial"/>
        </w:rPr>
      </w:pPr>
      <w:r w:rsidRPr="00251859">
        <w:rPr>
          <w:rFonts w:ascii="Century Gothic" w:hAnsi="Century Gothic" w:cs="Arial"/>
        </w:rPr>
        <w:tab/>
      </w:r>
    </w:p>
    <w:p w14:paraId="76BE5C13" w14:textId="77777777" w:rsidR="00820D44" w:rsidRPr="00251859" w:rsidRDefault="00820D44" w:rsidP="00820D44">
      <w:pPr>
        <w:tabs>
          <w:tab w:val="left" w:pos="5190"/>
        </w:tabs>
        <w:jc w:val="both"/>
        <w:rPr>
          <w:rFonts w:ascii="Century Gothic" w:hAnsi="Century Gothic" w:cs="Arial"/>
        </w:rPr>
      </w:pPr>
      <w:r w:rsidRPr="00251859">
        <w:rPr>
          <w:rFonts w:ascii="Century Gothic" w:hAnsi="Century Gothic" w:cs="Arial"/>
        </w:rPr>
        <w:t>YENIFER YULI</w:t>
      </w:r>
      <w:r>
        <w:rPr>
          <w:rFonts w:ascii="Century Gothic" w:hAnsi="Century Gothic" w:cs="Arial"/>
        </w:rPr>
        <w:t>P</w:t>
      </w:r>
      <w:r w:rsidRPr="00251859">
        <w:rPr>
          <w:rFonts w:ascii="Century Gothic" w:hAnsi="Century Gothic" w:cs="Arial"/>
        </w:rPr>
        <w:t>TZA DUCUARA AROCA                    ANGIE DANIELA ZAMORA</w:t>
      </w:r>
    </w:p>
    <w:p w14:paraId="7FDF319F" w14:textId="3BE50DEF" w:rsidR="00820D44" w:rsidRDefault="00820D44" w:rsidP="00820D44">
      <w:pPr>
        <w:jc w:val="both"/>
        <w:rPr>
          <w:rFonts w:ascii="Century Gothic" w:hAnsi="Century Gothic" w:cs="Arial"/>
        </w:rPr>
      </w:pPr>
      <w:r>
        <w:rPr>
          <w:rFonts w:ascii="Century Gothic" w:hAnsi="Century Gothic" w:cs="Arial"/>
        </w:rPr>
        <w:t>Estudiante</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 xml:space="preserve">       </w:t>
      </w:r>
      <w:proofErr w:type="spellStart"/>
      <w:r>
        <w:rPr>
          <w:rFonts w:ascii="Century Gothic" w:hAnsi="Century Gothic" w:cs="Arial"/>
        </w:rPr>
        <w:t>Exalumna</w:t>
      </w:r>
      <w:proofErr w:type="spellEnd"/>
    </w:p>
    <w:p w14:paraId="5C4C1A37" w14:textId="77777777" w:rsidR="003B74EB" w:rsidRPr="00333C4A" w:rsidRDefault="003B74EB" w:rsidP="00FB1F5D">
      <w:pPr>
        <w:jc w:val="center"/>
        <w:rPr>
          <w:rFonts w:ascii="Century Gothic" w:hAnsi="Century Gothic" w:cstheme="minorHAnsi"/>
          <w:sz w:val="22"/>
          <w:szCs w:val="22"/>
        </w:rPr>
      </w:pPr>
    </w:p>
    <w:sectPr w:rsidR="003B74EB" w:rsidRPr="00333C4A" w:rsidSect="003856DD">
      <w:pgSz w:w="12240" w:h="15840" w:code="1"/>
      <w:pgMar w:top="1304" w:right="1752"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F92D2" w14:textId="77777777" w:rsidR="0017159B" w:rsidRDefault="0017159B">
      <w:r>
        <w:separator/>
      </w:r>
    </w:p>
  </w:endnote>
  <w:endnote w:type="continuationSeparator" w:id="0">
    <w:p w14:paraId="38421E13" w14:textId="77777777" w:rsidR="0017159B" w:rsidRDefault="0017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8"/>
        <w:szCs w:val="18"/>
      </w:rPr>
      <w:id w:val="587280862"/>
      <w:docPartObj>
        <w:docPartGallery w:val="Page Numbers (Bottom of Page)"/>
        <w:docPartUnique/>
      </w:docPartObj>
    </w:sdtPr>
    <w:sdtEndPr/>
    <w:sdtContent>
      <w:p w14:paraId="282F1D9E" w14:textId="77777777" w:rsidR="007C42DA" w:rsidRPr="00582389" w:rsidRDefault="007C42DA" w:rsidP="007C42DA">
        <w:pPr>
          <w:pStyle w:val="Piedepgina"/>
          <w:jc w:val="center"/>
          <w:rPr>
            <w:rFonts w:ascii="Century Gothic" w:hAnsi="Century Gothic"/>
            <w:sz w:val="18"/>
            <w:szCs w:val="18"/>
            <w:lang w:val="es-CO"/>
          </w:rPr>
        </w:pPr>
        <w:r w:rsidRPr="00582389">
          <w:rPr>
            <w:rFonts w:ascii="Century Gothic" w:hAnsi="Century Gothic"/>
            <w:sz w:val="18"/>
            <w:szCs w:val="18"/>
            <w:lang w:val="es-CO"/>
          </w:rPr>
          <w:t>Aquí todos crecemos</w:t>
        </w:r>
      </w:p>
      <w:p w14:paraId="328FF9D6" w14:textId="77777777" w:rsidR="007C42DA" w:rsidRPr="00582389" w:rsidRDefault="007C42DA" w:rsidP="007C42DA">
        <w:pPr>
          <w:pStyle w:val="Piedepgina"/>
          <w:jc w:val="center"/>
          <w:rPr>
            <w:rFonts w:ascii="Century Gothic" w:hAnsi="Century Gothic"/>
            <w:sz w:val="18"/>
            <w:szCs w:val="18"/>
            <w:lang w:val="es-CO"/>
          </w:rPr>
        </w:pPr>
        <w:r w:rsidRPr="00582389">
          <w:rPr>
            <w:rFonts w:ascii="Century Gothic" w:hAnsi="Century Gothic"/>
            <w:sz w:val="18"/>
            <w:szCs w:val="18"/>
            <w:lang w:val="es-CO"/>
          </w:rPr>
          <w:t>Calle 100 No. 2ª-03  Barrio Jardín Santander</w:t>
        </w:r>
      </w:p>
      <w:p w14:paraId="43D2882A" w14:textId="100046FF" w:rsidR="007C42DA" w:rsidRPr="00582389" w:rsidRDefault="007C42DA" w:rsidP="007C42DA">
        <w:pPr>
          <w:pStyle w:val="Piedepgina"/>
          <w:jc w:val="center"/>
          <w:rPr>
            <w:rFonts w:ascii="Century Gothic" w:hAnsi="Century Gothic"/>
            <w:sz w:val="18"/>
            <w:szCs w:val="18"/>
          </w:rPr>
        </w:pPr>
        <w:r w:rsidRPr="00582389">
          <w:rPr>
            <w:rFonts w:ascii="Century Gothic" w:hAnsi="Century Gothic"/>
            <w:sz w:val="18"/>
            <w:szCs w:val="18"/>
            <w:lang w:val="es-CO"/>
          </w:rPr>
          <w:t>Telefax 515382</w:t>
        </w:r>
        <w:r w:rsidR="00820D44">
          <w:rPr>
            <w:rFonts w:ascii="Century Gothic" w:hAnsi="Century Gothic"/>
            <w:sz w:val="18"/>
            <w:szCs w:val="18"/>
            <w:lang w:val="es-CO"/>
          </w:rPr>
          <w:t>3</w:t>
        </w:r>
        <w:r w:rsidRPr="00582389">
          <w:rPr>
            <w:rFonts w:ascii="Century Gothic" w:hAnsi="Century Gothic"/>
            <w:sz w:val="18"/>
            <w:szCs w:val="18"/>
            <w:lang w:val="es-CO"/>
          </w:rPr>
          <w:t xml:space="preserve"> e-mail raicesf@hotmail.com</w:t>
        </w:r>
      </w:p>
    </w:sdtContent>
  </w:sdt>
  <w:p w14:paraId="7EBE902A" w14:textId="77777777" w:rsidR="007C42DA" w:rsidRPr="00207D2C" w:rsidRDefault="007C42DA" w:rsidP="007C42DA">
    <w:pPr>
      <w:pStyle w:val="Piedepgina"/>
      <w:jc w:val="center"/>
    </w:pPr>
  </w:p>
  <w:p w14:paraId="7230AE6A" w14:textId="77777777" w:rsidR="00554924" w:rsidRPr="007C42DA" w:rsidRDefault="00554924" w:rsidP="007C42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56D57" w14:textId="77777777" w:rsidR="0017159B" w:rsidRDefault="0017159B">
      <w:r>
        <w:separator/>
      </w:r>
    </w:p>
  </w:footnote>
  <w:footnote w:type="continuationSeparator" w:id="0">
    <w:p w14:paraId="427EB4C9" w14:textId="77777777" w:rsidR="0017159B" w:rsidRDefault="0017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5502" w14:textId="77777777" w:rsidR="00554924" w:rsidRPr="0073392B" w:rsidRDefault="00554924" w:rsidP="00573D33">
    <w:pPr>
      <w:ind w:firstLine="708"/>
      <w:jc w:val="center"/>
      <w:rPr>
        <w:sz w:val="24"/>
        <w:szCs w:val="24"/>
        <w:lang w:val="es-MX"/>
      </w:rPr>
    </w:pPr>
    <w:r w:rsidRPr="00436054">
      <w:rPr>
        <w:rFonts w:ascii="Baskerville Old Face" w:hAnsi="Baskerville Old Face"/>
        <w:b/>
        <w:noProof/>
        <w:lang w:val="es-CO" w:eastAsia="es-CO"/>
      </w:rPr>
      <w:drawing>
        <wp:anchor distT="0" distB="0" distL="114300" distR="114300" simplePos="0" relativeHeight="251663360" behindDoc="0" locked="0" layoutInCell="1" allowOverlap="1" wp14:anchorId="32905D24" wp14:editId="6752007F">
          <wp:simplePos x="0" y="0"/>
          <wp:positionH relativeFrom="margin">
            <wp:posOffset>-603885</wp:posOffset>
          </wp:positionH>
          <wp:positionV relativeFrom="paragraph">
            <wp:posOffset>-287655</wp:posOffset>
          </wp:positionV>
          <wp:extent cx="981075" cy="923925"/>
          <wp:effectExtent l="0" t="0" r="9525" b="9525"/>
          <wp:wrapSquare wrapText="bothSides"/>
          <wp:docPr id="7" name="Imagen 7" descr="E:\DOCUMENTOS\Pictures\RAICES DEL FUTU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Pictures\RAICES DEL FUTUR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92B">
      <w:rPr>
        <w:sz w:val="24"/>
        <w:szCs w:val="24"/>
        <w:lang w:val="es-MX"/>
      </w:rPr>
      <w:t>MINISTERIO DE EDUCACION NACIONAL</w:t>
    </w:r>
  </w:p>
  <w:p w14:paraId="07561C79" w14:textId="77777777" w:rsidR="00554924" w:rsidRPr="0073392B" w:rsidRDefault="00554924" w:rsidP="00573D33">
    <w:pPr>
      <w:jc w:val="center"/>
      <w:rPr>
        <w:sz w:val="24"/>
        <w:szCs w:val="24"/>
      </w:rPr>
    </w:pPr>
    <w:r w:rsidRPr="0073392B">
      <w:rPr>
        <w:sz w:val="24"/>
        <w:szCs w:val="24"/>
      </w:rPr>
      <w:t>Institución Educativa</w:t>
    </w:r>
    <w:r>
      <w:rPr>
        <w:sz w:val="24"/>
        <w:szCs w:val="24"/>
      </w:rPr>
      <w:t xml:space="preserve">  </w:t>
    </w:r>
    <w:r w:rsidRPr="0073392B">
      <w:rPr>
        <w:sz w:val="24"/>
        <w:szCs w:val="24"/>
      </w:rPr>
      <w:t>RAICES DEL FUTURO</w:t>
    </w:r>
  </w:p>
  <w:p w14:paraId="0D8F1345" w14:textId="77777777" w:rsidR="00554924" w:rsidRPr="0073392B" w:rsidRDefault="00554924" w:rsidP="00573D33">
    <w:pPr>
      <w:jc w:val="center"/>
      <w:rPr>
        <w:sz w:val="24"/>
        <w:szCs w:val="24"/>
      </w:rPr>
    </w:pPr>
    <w:r w:rsidRPr="0073392B">
      <w:rPr>
        <w:sz w:val="24"/>
        <w:szCs w:val="24"/>
      </w:rPr>
      <w:t>Código DANE  No. 173001008945</w:t>
    </w:r>
  </w:p>
  <w:p w14:paraId="44E2F237" w14:textId="77777777" w:rsidR="00554924" w:rsidRPr="0073392B" w:rsidRDefault="00554924" w:rsidP="00573D33">
    <w:pPr>
      <w:jc w:val="center"/>
      <w:rPr>
        <w:sz w:val="24"/>
        <w:szCs w:val="24"/>
      </w:rPr>
    </w:pPr>
  </w:p>
  <w:p w14:paraId="51731201" w14:textId="489CB6D8" w:rsidR="00554924" w:rsidRPr="007C2E42" w:rsidRDefault="00554924" w:rsidP="00573D33">
    <w:pPr>
      <w:jc w:val="center"/>
      <w:rPr>
        <w:sz w:val="24"/>
        <w:szCs w:val="24"/>
        <w:lang w:val="es-MX"/>
      </w:rPr>
    </w:pPr>
    <w:r w:rsidRPr="00B940DC">
      <w:rPr>
        <w:sz w:val="24"/>
        <w:szCs w:val="24"/>
        <w:lang w:val="es-MX"/>
      </w:rPr>
      <w:t xml:space="preserve">ACUERDO No. </w:t>
    </w:r>
    <w:r>
      <w:rPr>
        <w:sz w:val="24"/>
        <w:szCs w:val="24"/>
        <w:lang w:val="es-MX"/>
      </w:rPr>
      <w:t>0</w:t>
    </w:r>
    <w:r w:rsidR="00372038">
      <w:rPr>
        <w:sz w:val="24"/>
        <w:szCs w:val="24"/>
        <w:lang w:val="es-MX"/>
      </w:rPr>
      <w:t>0</w:t>
    </w:r>
    <w:r w:rsidR="009032A3">
      <w:rPr>
        <w:sz w:val="24"/>
        <w:szCs w:val="24"/>
        <w:lang w:val="es-MX"/>
      </w:rPr>
      <w:t>8</w:t>
    </w:r>
    <w:r w:rsidRPr="00B940DC">
      <w:rPr>
        <w:sz w:val="24"/>
        <w:szCs w:val="24"/>
        <w:lang w:val="es-MX"/>
      </w:rPr>
      <w:t>P</w:t>
    </w:r>
  </w:p>
  <w:p w14:paraId="46868B07" w14:textId="0CB85996" w:rsidR="00554924" w:rsidRDefault="00554924" w:rsidP="00573D33">
    <w:pPr>
      <w:jc w:val="center"/>
      <w:rPr>
        <w:sz w:val="24"/>
        <w:szCs w:val="24"/>
        <w:lang w:val="es-MX"/>
      </w:rPr>
    </w:pPr>
    <w:r w:rsidRPr="007C2E42">
      <w:rPr>
        <w:sz w:val="24"/>
        <w:szCs w:val="24"/>
        <w:lang w:val="es-MX"/>
      </w:rPr>
      <w:t>(</w:t>
    </w:r>
    <w:r w:rsidR="00372038">
      <w:rPr>
        <w:sz w:val="24"/>
        <w:szCs w:val="24"/>
        <w:lang w:val="es-MX"/>
      </w:rPr>
      <w:t>30</w:t>
    </w:r>
    <w:r>
      <w:rPr>
        <w:sz w:val="24"/>
        <w:szCs w:val="24"/>
        <w:lang w:val="es-MX"/>
      </w:rPr>
      <w:t xml:space="preserve"> DE NOVIEMBRE  DE 20</w:t>
    </w:r>
    <w:r w:rsidR="00033E7E">
      <w:rPr>
        <w:sz w:val="24"/>
        <w:szCs w:val="24"/>
        <w:lang w:val="es-MX"/>
      </w:rPr>
      <w:t>20</w:t>
    </w:r>
    <w:r w:rsidRPr="007C2E42">
      <w:rPr>
        <w:sz w:val="24"/>
        <w:szCs w:val="24"/>
        <w:lang w:val="es-MX"/>
      </w:rPr>
      <w:t>)</w:t>
    </w:r>
  </w:p>
  <w:p w14:paraId="3DCF8CDE" w14:textId="77777777" w:rsidR="00554924" w:rsidRDefault="005549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B4361"/>
    <w:multiLevelType w:val="singleLevel"/>
    <w:tmpl w:val="EC0874D0"/>
    <w:lvl w:ilvl="0">
      <w:start w:val="1"/>
      <w:numFmt w:val="bullet"/>
      <w:lvlText w:val=""/>
      <w:lvlJc w:val="left"/>
      <w:pPr>
        <w:ind w:left="720" w:hanging="360"/>
      </w:pPr>
      <w:rPr>
        <w:rFonts w:ascii="Symbol" w:hAnsi="Symbol" w:hint="default"/>
      </w:rPr>
    </w:lvl>
  </w:abstractNum>
  <w:abstractNum w:abstractNumId="1">
    <w:nsid w:val="7DA753EA"/>
    <w:multiLevelType w:val="hybridMultilevel"/>
    <w:tmpl w:val="3BE2C2A8"/>
    <w:lvl w:ilvl="0" w:tplc="EC0874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DD"/>
    <w:rsid w:val="00006076"/>
    <w:rsid w:val="00016A2E"/>
    <w:rsid w:val="0003348A"/>
    <w:rsid w:val="00033E7E"/>
    <w:rsid w:val="00076DE2"/>
    <w:rsid w:val="000925B2"/>
    <w:rsid w:val="000B29AC"/>
    <w:rsid w:val="00103E50"/>
    <w:rsid w:val="001148D9"/>
    <w:rsid w:val="00147F38"/>
    <w:rsid w:val="00157776"/>
    <w:rsid w:val="0017159B"/>
    <w:rsid w:val="001D4134"/>
    <w:rsid w:val="001D7853"/>
    <w:rsid w:val="001E33DD"/>
    <w:rsid w:val="001E665E"/>
    <w:rsid w:val="00212BF6"/>
    <w:rsid w:val="00227623"/>
    <w:rsid w:val="00235FE8"/>
    <w:rsid w:val="00236406"/>
    <w:rsid w:val="002674F5"/>
    <w:rsid w:val="00275903"/>
    <w:rsid w:val="002802DD"/>
    <w:rsid w:val="00282A24"/>
    <w:rsid w:val="002A737C"/>
    <w:rsid w:val="002F00A3"/>
    <w:rsid w:val="002F0391"/>
    <w:rsid w:val="00303F3F"/>
    <w:rsid w:val="00310E31"/>
    <w:rsid w:val="0032788D"/>
    <w:rsid w:val="00331461"/>
    <w:rsid w:val="00333C4A"/>
    <w:rsid w:val="00372038"/>
    <w:rsid w:val="003856DD"/>
    <w:rsid w:val="003B74EB"/>
    <w:rsid w:val="003C4153"/>
    <w:rsid w:val="003F71D9"/>
    <w:rsid w:val="004207E2"/>
    <w:rsid w:val="00444405"/>
    <w:rsid w:val="004631B2"/>
    <w:rsid w:val="004704AD"/>
    <w:rsid w:val="00475663"/>
    <w:rsid w:val="00492C77"/>
    <w:rsid w:val="004B7292"/>
    <w:rsid w:val="004C55C3"/>
    <w:rsid w:val="004C663D"/>
    <w:rsid w:val="00537431"/>
    <w:rsid w:val="00554924"/>
    <w:rsid w:val="0056270B"/>
    <w:rsid w:val="00571901"/>
    <w:rsid w:val="00573D33"/>
    <w:rsid w:val="005852A4"/>
    <w:rsid w:val="005A642B"/>
    <w:rsid w:val="005A778E"/>
    <w:rsid w:val="00632FC0"/>
    <w:rsid w:val="00633766"/>
    <w:rsid w:val="00637A07"/>
    <w:rsid w:val="00656EAD"/>
    <w:rsid w:val="006769CD"/>
    <w:rsid w:val="00681B78"/>
    <w:rsid w:val="0069109D"/>
    <w:rsid w:val="006A27E5"/>
    <w:rsid w:val="006C107E"/>
    <w:rsid w:val="006D1DC7"/>
    <w:rsid w:val="007428D1"/>
    <w:rsid w:val="00761896"/>
    <w:rsid w:val="0079137C"/>
    <w:rsid w:val="0079719E"/>
    <w:rsid w:val="007A2AE8"/>
    <w:rsid w:val="007A3FCB"/>
    <w:rsid w:val="007C33A9"/>
    <w:rsid w:val="007C42DA"/>
    <w:rsid w:val="008113B4"/>
    <w:rsid w:val="00820D44"/>
    <w:rsid w:val="008328AF"/>
    <w:rsid w:val="008359B2"/>
    <w:rsid w:val="00843AB2"/>
    <w:rsid w:val="00846C92"/>
    <w:rsid w:val="00851B96"/>
    <w:rsid w:val="0087266F"/>
    <w:rsid w:val="00882C32"/>
    <w:rsid w:val="008A444B"/>
    <w:rsid w:val="008D2E84"/>
    <w:rsid w:val="008D3673"/>
    <w:rsid w:val="008D7441"/>
    <w:rsid w:val="008F7A35"/>
    <w:rsid w:val="009032A3"/>
    <w:rsid w:val="00955A09"/>
    <w:rsid w:val="00A131E0"/>
    <w:rsid w:val="00A34667"/>
    <w:rsid w:val="00A6616B"/>
    <w:rsid w:val="00A760AC"/>
    <w:rsid w:val="00A94284"/>
    <w:rsid w:val="00AE7111"/>
    <w:rsid w:val="00AF2048"/>
    <w:rsid w:val="00B07A14"/>
    <w:rsid w:val="00B23ED0"/>
    <w:rsid w:val="00B27D03"/>
    <w:rsid w:val="00B6032E"/>
    <w:rsid w:val="00B67000"/>
    <w:rsid w:val="00BB5D6A"/>
    <w:rsid w:val="00BB72DD"/>
    <w:rsid w:val="00C0535D"/>
    <w:rsid w:val="00C40907"/>
    <w:rsid w:val="00CA2DD9"/>
    <w:rsid w:val="00CA2F85"/>
    <w:rsid w:val="00CA41DD"/>
    <w:rsid w:val="00CB79C0"/>
    <w:rsid w:val="00CC3D3E"/>
    <w:rsid w:val="00CD35DB"/>
    <w:rsid w:val="00CD7C75"/>
    <w:rsid w:val="00D0580E"/>
    <w:rsid w:val="00D16169"/>
    <w:rsid w:val="00D16B46"/>
    <w:rsid w:val="00D24B9D"/>
    <w:rsid w:val="00D26561"/>
    <w:rsid w:val="00D84850"/>
    <w:rsid w:val="00D945CD"/>
    <w:rsid w:val="00DC5154"/>
    <w:rsid w:val="00DC532F"/>
    <w:rsid w:val="00DC5C76"/>
    <w:rsid w:val="00E178F7"/>
    <w:rsid w:val="00E7715F"/>
    <w:rsid w:val="00E92352"/>
    <w:rsid w:val="00E97C80"/>
    <w:rsid w:val="00EA7964"/>
    <w:rsid w:val="00EE1783"/>
    <w:rsid w:val="00F47130"/>
    <w:rsid w:val="00F60F85"/>
    <w:rsid w:val="00F936E4"/>
    <w:rsid w:val="00FA0291"/>
    <w:rsid w:val="00FB1F5D"/>
    <w:rsid w:val="00FB5F4F"/>
    <w:rsid w:val="00FD4817"/>
    <w:rsid w:val="00FD7803"/>
    <w:rsid w:val="00FE13E9"/>
    <w:rsid w:val="00FF3ADB"/>
    <w:rsid w:val="00FF6D8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9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2F0391"/>
    <w:pPr>
      <w:jc w:val="center"/>
    </w:pPr>
    <w:rPr>
      <w:rFonts w:ascii="Arial" w:hAnsi="Arial"/>
      <w:b/>
      <w:sz w:val="24"/>
      <w:lang w:val="es-MX"/>
    </w:rPr>
  </w:style>
  <w:style w:type="character" w:customStyle="1" w:styleId="TtuloCar">
    <w:name w:val="Título Car"/>
    <w:basedOn w:val="Fuentedeprrafopredeter"/>
    <w:link w:val="Ttulo"/>
    <w:uiPriority w:val="99"/>
    <w:rsid w:val="002F0391"/>
    <w:rPr>
      <w:rFonts w:ascii="Arial" w:eastAsia="Times New Roman" w:hAnsi="Arial" w:cs="Times New Roman"/>
      <w:b/>
      <w:sz w:val="24"/>
      <w:szCs w:val="20"/>
      <w:lang w:val="es-MX" w:eastAsia="es-ES"/>
    </w:rPr>
  </w:style>
  <w:style w:type="paragraph" w:styleId="Prrafodelista">
    <w:name w:val="List Paragraph"/>
    <w:basedOn w:val="Normal"/>
    <w:uiPriority w:val="34"/>
    <w:qFormat/>
    <w:rsid w:val="002F0391"/>
    <w:pPr>
      <w:ind w:left="708"/>
    </w:pPr>
    <w:rPr>
      <w:sz w:val="24"/>
      <w:szCs w:val="24"/>
    </w:rPr>
  </w:style>
  <w:style w:type="paragraph" w:styleId="Encabezado">
    <w:name w:val="header"/>
    <w:aliases w:val="Encabezado1,encabezado,Encabezado Car Car Car Car Car,Encabezado Car Car Car,Alt Header,h"/>
    <w:basedOn w:val="Normal"/>
    <w:link w:val="EncabezadoCar"/>
    <w:unhideWhenUsed/>
    <w:rsid w:val="00CC3D3E"/>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
    <w:basedOn w:val="Fuentedeprrafopredeter"/>
    <w:link w:val="Encabezado"/>
    <w:rsid w:val="00CC3D3E"/>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CC3D3E"/>
    <w:pPr>
      <w:tabs>
        <w:tab w:val="center" w:pos="4419"/>
        <w:tab w:val="right" w:pos="8838"/>
      </w:tabs>
    </w:pPr>
  </w:style>
  <w:style w:type="character" w:customStyle="1" w:styleId="PiedepginaCar">
    <w:name w:val="Pie de página Car"/>
    <w:basedOn w:val="Fuentedeprrafopredeter"/>
    <w:link w:val="Piedepgina"/>
    <w:rsid w:val="00CC3D3E"/>
    <w:rPr>
      <w:rFonts w:ascii="Times New Roman" w:eastAsia="Times New Roman" w:hAnsi="Times New Roman" w:cs="Times New Roman"/>
      <w:sz w:val="20"/>
      <w:szCs w:val="20"/>
      <w:lang w:eastAsia="es-ES"/>
    </w:rPr>
  </w:style>
  <w:style w:type="paragraph" w:styleId="Sinespaciado">
    <w:name w:val="No Spacing"/>
    <w:uiPriority w:val="1"/>
    <w:qFormat/>
    <w:rsid w:val="0069109D"/>
    <w:pPr>
      <w:spacing w:after="0" w:line="240" w:lineRule="auto"/>
    </w:pPr>
    <w:rPr>
      <w:rFonts w:ascii="Calibri" w:eastAsia="Calibri" w:hAnsi="Calibri" w:cs="Times New Roman"/>
      <w:lang w:val="es-CO"/>
    </w:rPr>
  </w:style>
  <w:style w:type="character" w:styleId="Hipervnculo">
    <w:name w:val="Hyperlink"/>
    <w:basedOn w:val="Fuentedeprrafopredeter"/>
    <w:uiPriority w:val="99"/>
    <w:unhideWhenUsed/>
    <w:rsid w:val="0069109D"/>
    <w:rPr>
      <w:color w:val="0000FF" w:themeColor="hyperlink"/>
      <w:u w:val="single"/>
    </w:rPr>
  </w:style>
  <w:style w:type="paragraph" w:styleId="Textodeglobo">
    <w:name w:val="Balloon Text"/>
    <w:basedOn w:val="Normal"/>
    <w:link w:val="TextodegloboCar"/>
    <w:uiPriority w:val="99"/>
    <w:semiHidden/>
    <w:unhideWhenUsed/>
    <w:rsid w:val="00C409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0907"/>
    <w:rPr>
      <w:rFonts w:ascii="Segoe UI" w:eastAsia="Times New Roman" w:hAnsi="Segoe UI" w:cs="Segoe UI"/>
      <w:sz w:val="18"/>
      <w:szCs w:val="18"/>
      <w:lang w:eastAsia="es-ES"/>
    </w:rPr>
  </w:style>
  <w:style w:type="character" w:styleId="Textoennegrita">
    <w:name w:val="Strong"/>
    <w:qFormat/>
    <w:rsid w:val="004704AD"/>
    <w:rPr>
      <w:b/>
      <w:bCs/>
    </w:rPr>
  </w:style>
  <w:style w:type="character" w:styleId="nfasis">
    <w:name w:val="Emphasis"/>
    <w:qFormat/>
    <w:rsid w:val="00FD78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9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2F0391"/>
    <w:pPr>
      <w:jc w:val="center"/>
    </w:pPr>
    <w:rPr>
      <w:rFonts w:ascii="Arial" w:hAnsi="Arial"/>
      <w:b/>
      <w:sz w:val="24"/>
      <w:lang w:val="es-MX"/>
    </w:rPr>
  </w:style>
  <w:style w:type="character" w:customStyle="1" w:styleId="TtuloCar">
    <w:name w:val="Título Car"/>
    <w:basedOn w:val="Fuentedeprrafopredeter"/>
    <w:link w:val="Ttulo"/>
    <w:uiPriority w:val="99"/>
    <w:rsid w:val="002F0391"/>
    <w:rPr>
      <w:rFonts w:ascii="Arial" w:eastAsia="Times New Roman" w:hAnsi="Arial" w:cs="Times New Roman"/>
      <w:b/>
      <w:sz w:val="24"/>
      <w:szCs w:val="20"/>
      <w:lang w:val="es-MX" w:eastAsia="es-ES"/>
    </w:rPr>
  </w:style>
  <w:style w:type="paragraph" w:styleId="Prrafodelista">
    <w:name w:val="List Paragraph"/>
    <w:basedOn w:val="Normal"/>
    <w:uiPriority w:val="34"/>
    <w:qFormat/>
    <w:rsid w:val="002F0391"/>
    <w:pPr>
      <w:ind w:left="708"/>
    </w:pPr>
    <w:rPr>
      <w:sz w:val="24"/>
      <w:szCs w:val="24"/>
    </w:rPr>
  </w:style>
  <w:style w:type="paragraph" w:styleId="Encabezado">
    <w:name w:val="header"/>
    <w:aliases w:val="Encabezado1,encabezado,Encabezado Car Car Car Car Car,Encabezado Car Car Car,Alt Header,h"/>
    <w:basedOn w:val="Normal"/>
    <w:link w:val="EncabezadoCar"/>
    <w:unhideWhenUsed/>
    <w:rsid w:val="00CC3D3E"/>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
    <w:basedOn w:val="Fuentedeprrafopredeter"/>
    <w:link w:val="Encabezado"/>
    <w:rsid w:val="00CC3D3E"/>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CC3D3E"/>
    <w:pPr>
      <w:tabs>
        <w:tab w:val="center" w:pos="4419"/>
        <w:tab w:val="right" w:pos="8838"/>
      </w:tabs>
    </w:pPr>
  </w:style>
  <w:style w:type="character" w:customStyle="1" w:styleId="PiedepginaCar">
    <w:name w:val="Pie de página Car"/>
    <w:basedOn w:val="Fuentedeprrafopredeter"/>
    <w:link w:val="Piedepgina"/>
    <w:rsid w:val="00CC3D3E"/>
    <w:rPr>
      <w:rFonts w:ascii="Times New Roman" w:eastAsia="Times New Roman" w:hAnsi="Times New Roman" w:cs="Times New Roman"/>
      <w:sz w:val="20"/>
      <w:szCs w:val="20"/>
      <w:lang w:eastAsia="es-ES"/>
    </w:rPr>
  </w:style>
  <w:style w:type="paragraph" w:styleId="Sinespaciado">
    <w:name w:val="No Spacing"/>
    <w:uiPriority w:val="1"/>
    <w:qFormat/>
    <w:rsid w:val="0069109D"/>
    <w:pPr>
      <w:spacing w:after="0" w:line="240" w:lineRule="auto"/>
    </w:pPr>
    <w:rPr>
      <w:rFonts w:ascii="Calibri" w:eastAsia="Calibri" w:hAnsi="Calibri" w:cs="Times New Roman"/>
      <w:lang w:val="es-CO"/>
    </w:rPr>
  </w:style>
  <w:style w:type="character" w:styleId="Hipervnculo">
    <w:name w:val="Hyperlink"/>
    <w:basedOn w:val="Fuentedeprrafopredeter"/>
    <w:uiPriority w:val="99"/>
    <w:unhideWhenUsed/>
    <w:rsid w:val="0069109D"/>
    <w:rPr>
      <w:color w:val="0000FF" w:themeColor="hyperlink"/>
      <w:u w:val="single"/>
    </w:rPr>
  </w:style>
  <w:style w:type="paragraph" w:styleId="Textodeglobo">
    <w:name w:val="Balloon Text"/>
    <w:basedOn w:val="Normal"/>
    <w:link w:val="TextodegloboCar"/>
    <w:uiPriority w:val="99"/>
    <w:semiHidden/>
    <w:unhideWhenUsed/>
    <w:rsid w:val="00C409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0907"/>
    <w:rPr>
      <w:rFonts w:ascii="Segoe UI" w:eastAsia="Times New Roman" w:hAnsi="Segoe UI" w:cs="Segoe UI"/>
      <w:sz w:val="18"/>
      <w:szCs w:val="18"/>
      <w:lang w:eastAsia="es-ES"/>
    </w:rPr>
  </w:style>
  <w:style w:type="character" w:styleId="Textoennegrita">
    <w:name w:val="Strong"/>
    <w:qFormat/>
    <w:rsid w:val="004704AD"/>
    <w:rPr>
      <w:b/>
      <w:bCs/>
    </w:rPr>
  </w:style>
  <w:style w:type="character" w:styleId="nfasis">
    <w:name w:val="Emphasis"/>
    <w:qFormat/>
    <w:rsid w:val="00FD7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7388">
      <w:bodyDiv w:val="1"/>
      <w:marLeft w:val="0"/>
      <w:marRight w:val="0"/>
      <w:marTop w:val="0"/>
      <w:marBottom w:val="0"/>
      <w:divBdr>
        <w:top w:val="none" w:sz="0" w:space="0" w:color="auto"/>
        <w:left w:val="none" w:sz="0" w:space="0" w:color="auto"/>
        <w:bottom w:val="none" w:sz="0" w:space="0" w:color="auto"/>
        <w:right w:val="none" w:sz="0" w:space="0" w:color="auto"/>
      </w:divBdr>
    </w:div>
    <w:div w:id="290522772">
      <w:bodyDiv w:val="1"/>
      <w:marLeft w:val="0"/>
      <w:marRight w:val="0"/>
      <w:marTop w:val="0"/>
      <w:marBottom w:val="0"/>
      <w:divBdr>
        <w:top w:val="none" w:sz="0" w:space="0" w:color="auto"/>
        <w:left w:val="none" w:sz="0" w:space="0" w:color="auto"/>
        <w:bottom w:val="none" w:sz="0" w:space="0" w:color="auto"/>
        <w:right w:val="none" w:sz="0" w:space="0" w:color="auto"/>
      </w:divBdr>
    </w:div>
    <w:div w:id="339163953">
      <w:bodyDiv w:val="1"/>
      <w:marLeft w:val="0"/>
      <w:marRight w:val="0"/>
      <w:marTop w:val="0"/>
      <w:marBottom w:val="0"/>
      <w:divBdr>
        <w:top w:val="none" w:sz="0" w:space="0" w:color="auto"/>
        <w:left w:val="none" w:sz="0" w:space="0" w:color="auto"/>
        <w:bottom w:val="none" w:sz="0" w:space="0" w:color="auto"/>
        <w:right w:val="none" w:sz="0" w:space="0" w:color="auto"/>
      </w:divBdr>
    </w:div>
    <w:div w:id="683291403">
      <w:bodyDiv w:val="1"/>
      <w:marLeft w:val="0"/>
      <w:marRight w:val="0"/>
      <w:marTop w:val="0"/>
      <w:marBottom w:val="0"/>
      <w:divBdr>
        <w:top w:val="none" w:sz="0" w:space="0" w:color="auto"/>
        <w:left w:val="none" w:sz="0" w:space="0" w:color="auto"/>
        <w:bottom w:val="none" w:sz="0" w:space="0" w:color="auto"/>
        <w:right w:val="none" w:sz="0" w:space="0" w:color="auto"/>
      </w:divBdr>
    </w:div>
    <w:div w:id="920867048">
      <w:bodyDiv w:val="1"/>
      <w:marLeft w:val="0"/>
      <w:marRight w:val="0"/>
      <w:marTop w:val="0"/>
      <w:marBottom w:val="0"/>
      <w:divBdr>
        <w:top w:val="none" w:sz="0" w:space="0" w:color="auto"/>
        <w:left w:val="none" w:sz="0" w:space="0" w:color="auto"/>
        <w:bottom w:val="none" w:sz="0" w:space="0" w:color="auto"/>
        <w:right w:val="none" w:sz="0" w:space="0" w:color="auto"/>
      </w:divBdr>
    </w:div>
    <w:div w:id="953562683">
      <w:bodyDiv w:val="1"/>
      <w:marLeft w:val="0"/>
      <w:marRight w:val="0"/>
      <w:marTop w:val="0"/>
      <w:marBottom w:val="0"/>
      <w:divBdr>
        <w:top w:val="none" w:sz="0" w:space="0" w:color="auto"/>
        <w:left w:val="none" w:sz="0" w:space="0" w:color="auto"/>
        <w:bottom w:val="none" w:sz="0" w:space="0" w:color="auto"/>
        <w:right w:val="none" w:sz="0" w:space="0" w:color="auto"/>
      </w:divBdr>
    </w:div>
    <w:div w:id="1021514664">
      <w:bodyDiv w:val="1"/>
      <w:marLeft w:val="0"/>
      <w:marRight w:val="0"/>
      <w:marTop w:val="0"/>
      <w:marBottom w:val="0"/>
      <w:divBdr>
        <w:top w:val="none" w:sz="0" w:space="0" w:color="auto"/>
        <w:left w:val="none" w:sz="0" w:space="0" w:color="auto"/>
        <w:bottom w:val="none" w:sz="0" w:space="0" w:color="auto"/>
        <w:right w:val="none" w:sz="0" w:space="0" w:color="auto"/>
      </w:divBdr>
    </w:div>
    <w:div w:id="1075082554">
      <w:bodyDiv w:val="1"/>
      <w:marLeft w:val="0"/>
      <w:marRight w:val="0"/>
      <w:marTop w:val="0"/>
      <w:marBottom w:val="0"/>
      <w:divBdr>
        <w:top w:val="none" w:sz="0" w:space="0" w:color="auto"/>
        <w:left w:val="none" w:sz="0" w:space="0" w:color="auto"/>
        <w:bottom w:val="none" w:sz="0" w:space="0" w:color="auto"/>
        <w:right w:val="none" w:sz="0" w:space="0" w:color="auto"/>
      </w:divBdr>
    </w:div>
    <w:div w:id="1119839397">
      <w:bodyDiv w:val="1"/>
      <w:marLeft w:val="0"/>
      <w:marRight w:val="0"/>
      <w:marTop w:val="0"/>
      <w:marBottom w:val="0"/>
      <w:divBdr>
        <w:top w:val="none" w:sz="0" w:space="0" w:color="auto"/>
        <w:left w:val="none" w:sz="0" w:space="0" w:color="auto"/>
        <w:bottom w:val="none" w:sz="0" w:space="0" w:color="auto"/>
        <w:right w:val="none" w:sz="0" w:space="0" w:color="auto"/>
      </w:divBdr>
    </w:div>
    <w:div w:id="1170372777">
      <w:bodyDiv w:val="1"/>
      <w:marLeft w:val="0"/>
      <w:marRight w:val="0"/>
      <w:marTop w:val="0"/>
      <w:marBottom w:val="0"/>
      <w:divBdr>
        <w:top w:val="none" w:sz="0" w:space="0" w:color="auto"/>
        <w:left w:val="none" w:sz="0" w:space="0" w:color="auto"/>
        <w:bottom w:val="none" w:sz="0" w:space="0" w:color="auto"/>
        <w:right w:val="none" w:sz="0" w:space="0" w:color="auto"/>
      </w:divBdr>
    </w:div>
    <w:div w:id="1184399358">
      <w:bodyDiv w:val="1"/>
      <w:marLeft w:val="0"/>
      <w:marRight w:val="0"/>
      <w:marTop w:val="0"/>
      <w:marBottom w:val="0"/>
      <w:divBdr>
        <w:top w:val="none" w:sz="0" w:space="0" w:color="auto"/>
        <w:left w:val="none" w:sz="0" w:space="0" w:color="auto"/>
        <w:bottom w:val="none" w:sz="0" w:space="0" w:color="auto"/>
        <w:right w:val="none" w:sz="0" w:space="0" w:color="auto"/>
      </w:divBdr>
    </w:div>
    <w:div w:id="1252003468">
      <w:bodyDiv w:val="1"/>
      <w:marLeft w:val="0"/>
      <w:marRight w:val="0"/>
      <w:marTop w:val="0"/>
      <w:marBottom w:val="0"/>
      <w:divBdr>
        <w:top w:val="none" w:sz="0" w:space="0" w:color="auto"/>
        <w:left w:val="none" w:sz="0" w:space="0" w:color="auto"/>
        <w:bottom w:val="none" w:sz="0" w:space="0" w:color="auto"/>
        <w:right w:val="none" w:sz="0" w:space="0" w:color="auto"/>
      </w:divBdr>
    </w:div>
    <w:div w:id="1262568915">
      <w:bodyDiv w:val="1"/>
      <w:marLeft w:val="0"/>
      <w:marRight w:val="0"/>
      <w:marTop w:val="0"/>
      <w:marBottom w:val="0"/>
      <w:divBdr>
        <w:top w:val="none" w:sz="0" w:space="0" w:color="auto"/>
        <w:left w:val="none" w:sz="0" w:space="0" w:color="auto"/>
        <w:bottom w:val="none" w:sz="0" w:space="0" w:color="auto"/>
        <w:right w:val="none" w:sz="0" w:space="0" w:color="auto"/>
      </w:divBdr>
    </w:div>
    <w:div w:id="1398170549">
      <w:bodyDiv w:val="1"/>
      <w:marLeft w:val="0"/>
      <w:marRight w:val="0"/>
      <w:marTop w:val="0"/>
      <w:marBottom w:val="0"/>
      <w:divBdr>
        <w:top w:val="none" w:sz="0" w:space="0" w:color="auto"/>
        <w:left w:val="none" w:sz="0" w:space="0" w:color="auto"/>
        <w:bottom w:val="none" w:sz="0" w:space="0" w:color="auto"/>
        <w:right w:val="none" w:sz="0" w:space="0" w:color="auto"/>
      </w:divBdr>
    </w:div>
    <w:div w:id="1404643182">
      <w:bodyDiv w:val="1"/>
      <w:marLeft w:val="0"/>
      <w:marRight w:val="0"/>
      <w:marTop w:val="0"/>
      <w:marBottom w:val="0"/>
      <w:divBdr>
        <w:top w:val="none" w:sz="0" w:space="0" w:color="auto"/>
        <w:left w:val="none" w:sz="0" w:space="0" w:color="auto"/>
        <w:bottom w:val="none" w:sz="0" w:space="0" w:color="auto"/>
        <w:right w:val="none" w:sz="0" w:space="0" w:color="auto"/>
      </w:divBdr>
    </w:div>
    <w:div w:id="1537740896">
      <w:bodyDiv w:val="1"/>
      <w:marLeft w:val="0"/>
      <w:marRight w:val="0"/>
      <w:marTop w:val="0"/>
      <w:marBottom w:val="0"/>
      <w:divBdr>
        <w:top w:val="none" w:sz="0" w:space="0" w:color="auto"/>
        <w:left w:val="none" w:sz="0" w:space="0" w:color="auto"/>
        <w:bottom w:val="none" w:sz="0" w:space="0" w:color="auto"/>
        <w:right w:val="none" w:sz="0" w:space="0" w:color="auto"/>
      </w:divBdr>
    </w:div>
    <w:div w:id="1558318519">
      <w:bodyDiv w:val="1"/>
      <w:marLeft w:val="0"/>
      <w:marRight w:val="0"/>
      <w:marTop w:val="0"/>
      <w:marBottom w:val="0"/>
      <w:divBdr>
        <w:top w:val="none" w:sz="0" w:space="0" w:color="auto"/>
        <w:left w:val="none" w:sz="0" w:space="0" w:color="auto"/>
        <w:bottom w:val="none" w:sz="0" w:space="0" w:color="auto"/>
        <w:right w:val="none" w:sz="0" w:space="0" w:color="auto"/>
      </w:divBdr>
    </w:div>
    <w:div w:id="1717121589">
      <w:bodyDiv w:val="1"/>
      <w:marLeft w:val="0"/>
      <w:marRight w:val="0"/>
      <w:marTop w:val="0"/>
      <w:marBottom w:val="0"/>
      <w:divBdr>
        <w:top w:val="none" w:sz="0" w:space="0" w:color="auto"/>
        <w:left w:val="none" w:sz="0" w:space="0" w:color="auto"/>
        <w:bottom w:val="none" w:sz="0" w:space="0" w:color="auto"/>
        <w:right w:val="none" w:sz="0" w:space="0" w:color="auto"/>
      </w:divBdr>
    </w:div>
    <w:div w:id="1804079935">
      <w:bodyDiv w:val="1"/>
      <w:marLeft w:val="0"/>
      <w:marRight w:val="0"/>
      <w:marTop w:val="0"/>
      <w:marBottom w:val="0"/>
      <w:divBdr>
        <w:top w:val="none" w:sz="0" w:space="0" w:color="auto"/>
        <w:left w:val="none" w:sz="0" w:space="0" w:color="auto"/>
        <w:bottom w:val="none" w:sz="0" w:space="0" w:color="auto"/>
        <w:right w:val="none" w:sz="0" w:space="0" w:color="auto"/>
      </w:divBdr>
    </w:div>
    <w:div w:id="1833836699">
      <w:bodyDiv w:val="1"/>
      <w:marLeft w:val="0"/>
      <w:marRight w:val="0"/>
      <w:marTop w:val="0"/>
      <w:marBottom w:val="0"/>
      <w:divBdr>
        <w:top w:val="none" w:sz="0" w:space="0" w:color="auto"/>
        <w:left w:val="none" w:sz="0" w:space="0" w:color="auto"/>
        <w:bottom w:val="none" w:sz="0" w:space="0" w:color="auto"/>
        <w:right w:val="none" w:sz="0" w:space="0" w:color="auto"/>
      </w:divBdr>
    </w:div>
    <w:div w:id="1890144674">
      <w:bodyDiv w:val="1"/>
      <w:marLeft w:val="0"/>
      <w:marRight w:val="0"/>
      <w:marTop w:val="0"/>
      <w:marBottom w:val="0"/>
      <w:divBdr>
        <w:top w:val="none" w:sz="0" w:space="0" w:color="auto"/>
        <w:left w:val="none" w:sz="0" w:space="0" w:color="auto"/>
        <w:bottom w:val="none" w:sz="0" w:space="0" w:color="auto"/>
        <w:right w:val="none" w:sz="0" w:space="0" w:color="auto"/>
      </w:divBdr>
    </w:div>
    <w:div w:id="1988583525">
      <w:bodyDiv w:val="1"/>
      <w:marLeft w:val="0"/>
      <w:marRight w:val="0"/>
      <w:marTop w:val="0"/>
      <w:marBottom w:val="0"/>
      <w:divBdr>
        <w:top w:val="none" w:sz="0" w:space="0" w:color="auto"/>
        <w:left w:val="none" w:sz="0" w:space="0" w:color="auto"/>
        <w:bottom w:val="none" w:sz="0" w:space="0" w:color="auto"/>
        <w:right w:val="none" w:sz="0" w:space="0" w:color="auto"/>
      </w:divBdr>
    </w:div>
    <w:div w:id="21189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2770</Words>
  <Characters>15238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RECTORIA</dc:creator>
  <cp:lastModifiedBy>CONTABILIDAD</cp:lastModifiedBy>
  <cp:revision>5</cp:revision>
  <cp:lastPrinted>2020-12-09T02:51:00Z</cp:lastPrinted>
  <dcterms:created xsi:type="dcterms:W3CDTF">2020-11-26T22:33:00Z</dcterms:created>
  <dcterms:modified xsi:type="dcterms:W3CDTF">2020-12-09T02:59:00Z</dcterms:modified>
</cp:coreProperties>
</file>